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460" w:lineRule="exact"/>
        <w:ind w:leftChars="0"/>
        <w:rPr>
          <w:rFonts w:hint="eastAsia" w:ascii="仿宋_GB2312" w:hAnsi="仿宋_GB2312" w:eastAsia="仿宋_GB2312" w:cs="仿宋_GB2312"/>
          <w:b/>
          <w:szCs w:val="24"/>
          <w:highlight w:val="none"/>
          <w:lang w:val="en-US" w:eastAsia="zh-CN"/>
        </w:rPr>
      </w:pPr>
      <w:r>
        <w:rPr>
          <w:rFonts w:hint="eastAsia" w:ascii="仿宋_GB2312" w:hAnsi="仿宋_GB2312" w:eastAsia="仿宋_GB2312" w:cs="仿宋_GB2312"/>
          <w:b/>
          <w:szCs w:val="24"/>
          <w:highlight w:val="none"/>
          <w:lang w:val="en-US" w:eastAsia="zh-CN"/>
        </w:rPr>
        <w:t>附件：</w:t>
      </w:r>
    </w:p>
    <w:p>
      <w:pPr>
        <w:numPr>
          <w:ilvl w:val="0"/>
          <w:numId w:val="0"/>
        </w:numPr>
        <w:spacing w:line="460" w:lineRule="exact"/>
        <w:ind w:leftChars="0"/>
        <w:jc w:val="center"/>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评分标准</w:t>
      </w:r>
    </w:p>
    <w:tbl>
      <w:tblPr>
        <w:tblStyle w:val="9"/>
        <w:tblpPr w:leftFromText="180" w:rightFromText="180" w:vertAnchor="text" w:horzAnchor="page" w:tblpX="1275" w:tblpY="455"/>
        <w:tblOverlap w:val="never"/>
        <w:tblW w:w="9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377"/>
        <w:gridCol w:w="2378"/>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54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评分项目</w:t>
            </w:r>
          </w:p>
        </w:tc>
        <w:tc>
          <w:tcPr>
            <w:tcW w:w="2377"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Cs w:val="24"/>
                <w:lang w:val="en-US" w:eastAsia="zh-CN"/>
              </w:rPr>
              <w:t>技术</w:t>
            </w:r>
            <w:r>
              <w:rPr>
                <w:rFonts w:hint="eastAsia" w:ascii="仿宋_GB2312" w:hAnsi="仿宋_GB2312" w:eastAsia="仿宋_GB2312" w:cs="仿宋_GB2312"/>
                <w:sz w:val="21"/>
                <w:szCs w:val="21"/>
              </w:rPr>
              <w:t>部分</w:t>
            </w:r>
          </w:p>
        </w:tc>
        <w:tc>
          <w:tcPr>
            <w:tcW w:w="2378"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商务部分</w:t>
            </w:r>
          </w:p>
        </w:tc>
        <w:tc>
          <w:tcPr>
            <w:tcW w:w="227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54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权重</w:t>
            </w:r>
          </w:p>
        </w:tc>
        <w:tc>
          <w:tcPr>
            <w:tcW w:w="2377" w:type="dxa"/>
            <w:vAlign w:val="center"/>
          </w:tcPr>
          <w:p>
            <w:pPr>
              <w:pStyle w:val="5"/>
              <w:jc w:val="center"/>
              <w:rPr>
                <w:rFonts w:hint="eastAsia" w:ascii="仿宋_GB2312" w:hAnsi="仿宋_GB2312" w:eastAsia="仿宋_GB2312" w:cs="仿宋_GB2312"/>
              </w:rPr>
            </w:pPr>
            <w:r>
              <w:rPr>
                <w:rFonts w:hint="eastAsia" w:ascii="仿宋_GB2312" w:hAnsi="仿宋_GB2312" w:eastAsia="仿宋_GB2312" w:cs="仿宋_GB2312"/>
                <w:lang w:val="en-US" w:eastAsia="zh-CN"/>
              </w:rPr>
              <w:t>40</w:t>
            </w:r>
            <w:r>
              <w:rPr>
                <w:rFonts w:hint="eastAsia" w:ascii="仿宋_GB2312" w:hAnsi="仿宋_GB2312" w:eastAsia="仿宋_GB2312" w:cs="仿宋_GB2312"/>
              </w:rPr>
              <w:t>%</w:t>
            </w:r>
          </w:p>
        </w:tc>
        <w:tc>
          <w:tcPr>
            <w:tcW w:w="2378" w:type="dxa"/>
            <w:vAlign w:val="center"/>
          </w:tcPr>
          <w:p>
            <w:pPr>
              <w:pStyle w:val="5"/>
              <w:jc w:val="center"/>
              <w:rPr>
                <w:rFonts w:hint="eastAsia" w:ascii="仿宋_GB2312" w:hAnsi="仿宋_GB2312" w:eastAsia="仿宋_GB2312" w:cs="仿宋_GB2312"/>
              </w:rPr>
            </w:pPr>
            <w:r>
              <w:rPr>
                <w:rFonts w:hint="eastAsia" w:ascii="仿宋_GB2312" w:hAnsi="仿宋_GB2312" w:eastAsia="仿宋_GB2312" w:cs="仿宋_GB2312"/>
                <w:lang w:val="en-US" w:eastAsia="zh-CN"/>
              </w:rPr>
              <w:t>30</w:t>
            </w:r>
            <w:r>
              <w:rPr>
                <w:rFonts w:hint="eastAsia" w:ascii="仿宋_GB2312" w:hAnsi="仿宋_GB2312" w:eastAsia="仿宋_GB2312" w:cs="仿宋_GB2312"/>
              </w:rPr>
              <w:t>%</w:t>
            </w:r>
          </w:p>
        </w:tc>
        <w:tc>
          <w:tcPr>
            <w:tcW w:w="227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544"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2377" w:type="dxa"/>
            <w:vAlign w:val="center"/>
          </w:tcPr>
          <w:p>
            <w:pPr>
              <w:pStyle w:val="5"/>
              <w:jc w:val="center"/>
              <w:rPr>
                <w:rFonts w:hint="eastAsia" w:ascii="仿宋_GB2312" w:hAnsi="仿宋_GB2312" w:eastAsia="仿宋_GB2312" w:cs="仿宋_GB2312"/>
              </w:rPr>
            </w:pPr>
            <w:r>
              <w:rPr>
                <w:rFonts w:hint="eastAsia" w:ascii="仿宋_GB2312" w:hAnsi="仿宋_GB2312" w:eastAsia="仿宋_GB2312" w:cs="仿宋_GB2312"/>
                <w:lang w:val="en-US" w:eastAsia="zh-CN"/>
              </w:rPr>
              <w:t>40</w:t>
            </w:r>
            <w:r>
              <w:rPr>
                <w:rFonts w:hint="eastAsia" w:ascii="仿宋_GB2312" w:hAnsi="仿宋_GB2312" w:eastAsia="仿宋_GB2312" w:cs="仿宋_GB2312"/>
              </w:rPr>
              <w:t>分</w:t>
            </w:r>
          </w:p>
        </w:tc>
        <w:tc>
          <w:tcPr>
            <w:tcW w:w="2378" w:type="dxa"/>
            <w:vAlign w:val="center"/>
          </w:tcPr>
          <w:p>
            <w:pPr>
              <w:pStyle w:val="5"/>
              <w:jc w:val="center"/>
              <w:rPr>
                <w:rFonts w:hint="eastAsia" w:ascii="仿宋_GB2312" w:hAnsi="仿宋_GB2312" w:eastAsia="仿宋_GB2312" w:cs="仿宋_GB2312"/>
              </w:rPr>
            </w:pPr>
            <w:r>
              <w:rPr>
                <w:rFonts w:hint="eastAsia" w:ascii="仿宋_GB2312" w:hAnsi="仿宋_GB2312" w:eastAsia="仿宋_GB2312" w:cs="仿宋_GB2312"/>
                <w:lang w:val="en-US" w:eastAsia="zh-CN"/>
              </w:rPr>
              <w:t>30</w:t>
            </w:r>
            <w:r>
              <w:rPr>
                <w:rFonts w:hint="eastAsia" w:ascii="仿宋_GB2312" w:hAnsi="仿宋_GB2312" w:eastAsia="仿宋_GB2312" w:cs="仿宋_GB2312"/>
              </w:rPr>
              <w:t>分</w:t>
            </w:r>
          </w:p>
        </w:tc>
        <w:tc>
          <w:tcPr>
            <w:tcW w:w="2276"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0分</w:t>
            </w:r>
          </w:p>
        </w:tc>
      </w:tr>
    </w:tbl>
    <w:p>
      <w:pPr>
        <w:numPr>
          <w:ilvl w:val="0"/>
          <w:numId w:val="2"/>
        </w:numPr>
        <w:tabs>
          <w:tab w:val="left" w:pos="510"/>
          <w:tab w:val="left" w:pos="540"/>
        </w:tabs>
        <w:snapToGrid w:val="0"/>
        <w:spacing w:line="460" w:lineRule="exact"/>
        <w:rPr>
          <w:rFonts w:hint="eastAsia" w:ascii="仿宋_GB2312" w:hAnsi="仿宋_GB2312" w:eastAsia="仿宋_GB2312" w:cs="仿宋_GB2312"/>
          <w:szCs w:val="24"/>
          <w:lang w:val="en-GB"/>
        </w:rPr>
      </w:pPr>
      <w:r>
        <w:rPr>
          <w:rFonts w:hint="eastAsia" w:ascii="仿宋_GB2312" w:hAnsi="仿宋_GB2312" w:eastAsia="仿宋_GB2312" w:cs="仿宋_GB2312"/>
          <w:szCs w:val="24"/>
          <w:lang w:val="en-GB"/>
        </w:rPr>
        <w:t xml:space="preserve">权重分配（权重 100%） </w:t>
      </w:r>
    </w:p>
    <w:p>
      <w:pPr>
        <w:pStyle w:val="2"/>
        <w:numPr>
          <w:numId w:val="0"/>
        </w:numPr>
        <w:ind w:leftChars="0"/>
        <w:rPr>
          <w:rFonts w:hint="eastAsia" w:ascii="仿宋_GB2312" w:hAnsi="仿宋_GB2312" w:eastAsia="仿宋_GB2312" w:cs="仿宋_GB2312"/>
          <w:szCs w:val="24"/>
          <w:lang w:val="en-GB"/>
        </w:rPr>
      </w:pPr>
    </w:p>
    <w:p>
      <w:pPr>
        <w:rPr>
          <w:rFonts w:hint="eastAsia" w:ascii="仿宋_GB2312" w:hAnsi="仿宋_GB2312" w:eastAsia="仿宋_GB2312" w:cs="仿宋_GB2312"/>
          <w:lang w:val="en-GB"/>
        </w:rPr>
      </w:pPr>
    </w:p>
    <w:p>
      <w:pPr>
        <w:numPr>
          <w:ilvl w:val="0"/>
          <w:numId w:val="2"/>
        </w:numPr>
        <w:tabs>
          <w:tab w:val="left" w:pos="510"/>
          <w:tab w:val="left" w:pos="540"/>
        </w:tabs>
        <w:snapToGrid w:val="0"/>
        <w:spacing w:line="500" w:lineRule="exact"/>
        <w:rPr>
          <w:rFonts w:hint="eastAsia" w:ascii="仿宋_GB2312" w:hAnsi="仿宋_GB2312" w:eastAsia="仿宋_GB2312" w:cs="仿宋_GB2312"/>
          <w:szCs w:val="24"/>
          <w:lang w:val="en-GB"/>
        </w:rPr>
      </w:pPr>
      <w:r>
        <w:rPr>
          <w:rFonts w:hint="eastAsia" w:ascii="仿宋_GB2312" w:hAnsi="仿宋_GB2312" w:eastAsia="仿宋_GB2312" w:cs="仿宋_GB2312"/>
          <w:szCs w:val="24"/>
          <w:lang w:val="en-US" w:eastAsia="zh-CN"/>
        </w:rPr>
        <w:t>技术</w:t>
      </w:r>
      <w:r>
        <w:rPr>
          <w:rFonts w:hint="eastAsia" w:ascii="仿宋_GB2312" w:hAnsi="仿宋_GB2312" w:eastAsia="仿宋_GB2312" w:cs="仿宋_GB2312"/>
          <w:szCs w:val="24"/>
          <w:lang w:val="en-GB"/>
        </w:rPr>
        <w:t>部分评审标准（权重</w:t>
      </w:r>
      <w:r>
        <w:rPr>
          <w:rFonts w:hint="eastAsia" w:ascii="仿宋_GB2312" w:hAnsi="仿宋_GB2312" w:eastAsia="仿宋_GB2312" w:cs="仿宋_GB2312"/>
          <w:szCs w:val="24"/>
          <w:lang w:val="en-US" w:eastAsia="zh-CN"/>
        </w:rPr>
        <w:t>4</w:t>
      </w:r>
      <w:r>
        <w:rPr>
          <w:rFonts w:hint="eastAsia" w:ascii="仿宋_GB2312" w:hAnsi="仿宋_GB2312" w:eastAsia="仿宋_GB2312" w:cs="仿宋_GB2312"/>
          <w:szCs w:val="24"/>
        </w:rPr>
        <w:t>0</w:t>
      </w:r>
      <w:r>
        <w:rPr>
          <w:rFonts w:hint="eastAsia" w:ascii="仿宋_GB2312" w:hAnsi="仿宋_GB2312" w:eastAsia="仿宋_GB2312" w:cs="仿宋_GB2312"/>
          <w:szCs w:val="24"/>
          <w:lang w:val="en-GB"/>
        </w:rPr>
        <w:t>%)</w:t>
      </w:r>
    </w:p>
    <w:tbl>
      <w:tblPr>
        <w:tblStyle w:val="9"/>
        <w:tblW w:w="95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1601"/>
        <w:gridCol w:w="687"/>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tblHeader/>
          <w:jc w:val="center"/>
        </w:trPr>
        <w:tc>
          <w:tcPr>
            <w:tcW w:w="2860" w:type="dxa"/>
            <w:gridSpan w:val="3"/>
            <w:tcMar>
              <w:top w:w="16" w:type="dxa"/>
              <w:left w:w="16" w:type="dxa"/>
              <w:bottom w:w="0" w:type="dxa"/>
              <w:right w:w="16" w:type="dxa"/>
            </w:tcMar>
            <w:vAlign w:val="center"/>
          </w:tcPr>
          <w:p>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评审分项</w:t>
            </w:r>
          </w:p>
        </w:tc>
        <w:tc>
          <w:tcPr>
            <w:tcW w:w="6713" w:type="dxa"/>
            <w:vMerge w:val="restart"/>
            <w:vAlign w:val="center"/>
          </w:tcPr>
          <w:p>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tblHeader/>
          <w:jc w:val="center"/>
        </w:trPr>
        <w:tc>
          <w:tcPr>
            <w:tcW w:w="572" w:type="dxa"/>
            <w:tcMar>
              <w:top w:w="16" w:type="dxa"/>
              <w:left w:w="16" w:type="dxa"/>
              <w:bottom w:w="0" w:type="dxa"/>
              <w:right w:w="16" w:type="dxa"/>
            </w:tcMar>
            <w:vAlign w:val="center"/>
          </w:tcPr>
          <w:p>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序号</w:t>
            </w:r>
          </w:p>
        </w:tc>
        <w:tc>
          <w:tcPr>
            <w:tcW w:w="1601" w:type="dxa"/>
            <w:tcMar>
              <w:top w:w="16" w:type="dxa"/>
              <w:left w:w="16" w:type="dxa"/>
              <w:bottom w:w="0" w:type="dxa"/>
              <w:right w:w="16" w:type="dxa"/>
            </w:tcMar>
            <w:vAlign w:val="center"/>
          </w:tcPr>
          <w:p>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内容</w:t>
            </w:r>
          </w:p>
        </w:tc>
        <w:tc>
          <w:tcPr>
            <w:tcW w:w="687" w:type="dxa"/>
            <w:tcMar>
              <w:top w:w="16" w:type="dxa"/>
              <w:left w:w="16" w:type="dxa"/>
              <w:bottom w:w="0" w:type="dxa"/>
              <w:right w:w="16" w:type="dxa"/>
            </w:tcMar>
            <w:vAlign w:val="center"/>
          </w:tcPr>
          <w:p>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分值</w:t>
            </w:r>
          </w:p>
        </w:tc>
        <w:tc>
          <w:tcPr>
            <w:tcW w:w="6713" w:type="dxa"/>
            <w:vMerge w:val="continue"/>
            <w:tcMar>
              <w:top w:w="16" w:type="dxa"/>
              <w:left w:w="16" w:type="dxa"/>
              <w:bottom w:w="0" w:type="dxa"/>
              <w:right w:w="16" w:type="dxa"/>
            </w:tcMar>
            <w:vAlign w:val="center"/>
          </w:tcPr>
          <w:p>
            <w:pPr>
              <w:jc w:val="center"/>
              <w:rPr>
                <w:rFonts w:hint="eastAsia" w:ascii="仿宋_GB2312" w:hAnsi="仿宋_GB2312" w:eastAsia="仿宋_GB2312"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1</w:t>
            </w:r>
          </w:p>
        </w:tc>
        <w:tc>
          <w:tcPr>
            <w:tcW w:w="1601" w:type="dxa"/>
            <w:tcMar>
              <w:top w:w="16" w:type="dxa"/>
              <w:left w:w="16" w:type="dxa"/>
              <w:bottom w:w="0" w:type="dxa"/>
              <w:right w:w="16" w:type="dxa"/>
            </w:tcMar>
            <w:vAlign w:val="center"/>
          </w:tcPr>
          <w:p>
            <w:pPr>
              <w:jc w:val="center"/>
              <w:rPr>
                <w:rFonts w:hint="eastAsia" w:ascii="仿宋_GB2312" w:hAnsi="仿宋_GB2312" w:eastAsia="仿宋_GB2312" w:cs="仿宋_GB2312"/>
                <w:bCs w:val="0"/>
                <w:color w:val="000000" w:themeColor="text1"/>
                <w:sz w:val="21"/>
                <w:szCs w:val="21"/>
                <w14:textFill>
                  <w14:solidFill>
                    <w14:schemeClr w14:val="tx1"/>
                  </w14:solidFill>
                </w14:textFill>
              </w:rPr>
            </w:pPr>
            <w:r>
              <w:rPr>
                <w:rFonts w:hint="eastAsia" w:ascii="仿宋_GB2312" w:hAnsi="仿宋_GB2312" w:eastAsia="仿宋_GB2312" w:cs="仿宋_GB2312"/>
                <w:bCs w:val="0"/>
                <w:color w:val="000000" w:themeColor="text1"/>
                <w:sz w:val="21"/>
                <w:szCs w:val="21"/>
                <w14:textFill>
                  <w14:solidFill>
                    <w14:schemeClr w14:val="tx1"/>
                  </w14:solidFill>
                </w14:textFill>
              </w:rPr>
              <w:t>总体实施方案</w:t>
            </w:r>
          </w:p>
        </w:tc>
        <w:tc>
          <w:tcPr>
            <w:tcW w:w="687" w:type="dxa"/>
            <w:tcMar>
              <w:top w:w="16" w:type="dxa"/>
              <w:left w:w="16" w:type="dxa"/>
              <w:bottom w:w="0" w:type="dxa"/>
              <w:right w:w="16" w:type="dxa"/>
            </w:tcMar>
            <w:vAlign w:val="center"/>
          </w:tcPr>
          <w:p>
            <w:pPr>
              <w:jc w:val="center"/>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1</w:t>
            </w: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2</w:t>
            </w:r>
            <w:r>
              <w:rPr>
                <w:rFonts w:hint="eastAsia" w:ascii="仿宋_GB2312" w:hAnsi="仿宋_GB2312" w:eastAsia="仿宋_GB2312" w:cs="仿宋_GB2312"/>
                <w:bCs/>
                <w:color w:val="000000" w:themeColor="text1"/>
                <w:sz w:val="21"/>
                <w:szCs w:val="21"/>
                <w14:textFill>
                  <w14:solidFill>
                    <w14:schemeClr w14:val="tx1"/>
                  </w14:solidFill>
                </w14:textFill>
              </w:rPr>
              <w:t>分</w:t>
            </w:r>
          </w:p>
        </w:tc>
        <w:tc>
          <w:tcPr>
            <w:tcW w:w="6713" w:type="dxa"/>
            <w:tcMar>
              <w:top w:w="16" w:type="dxa"/>
              <w:left w:w="16" w:type="dxa"/>
              <w:bottom w:w="0" w:type="dxa"/>
              <w:right w:w="16" w:type="dxa"/>
            </w:tcMar>
            <w:vAlign w:val="center"/>
          </w:tcPr>
          <w:p>
            <w:pPr>
              <w:ind w:firstLine="0" w:firstLineChars="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根据</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响应供应商</w:t>
            </w:r>
            <w:r>
              <w:rPr>
                <w:rFonts w:hint="eastAsia" w:ascii="仿宋_GB2312" w:hAnsi="仿宋_GB2312" w:eastAsia="仿宋_GB2312" w:cs="仿宋_GB2312"/>
                <w:color w:val="000000" w:themeColor="text1"/>
                <w:sz w:val="21"/>
                <w:szCs w:val="21"/>
                <w14:textFill>
                  <w14:solidFill>
                    <w14:schemeClr w14:val="tx1"/>
                  </w14:solidFill>
                </w14:textFill>
              </w:rPr>
              <w:t>对本项目技术标准与要求中提供的项目总体实施方案，内容包括但不限于对项目需求理解程度、流程步骤、</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分类分级</w:t>
            </w:r>
            <w:r>
              <w:rPr>
                <w:rFonts w:hint="eastAsia" w:ascii="仿宋_GB2312" w:hAnsi="仿宋_GB2312" w:eastAsia="仿宋_GB2312" w:cs="仿宋_GB2312"/>
                <w:color w:val="000000" w:themeColor="text1"/>
                <w:sz w:val="21"/>
                <w:szCs w:val="21"/>
                <w14:textFill>
                  <w14:solidFill>
                    <w14:schemeClr w14:val="tx1"/>
                  </w14:solidFill>
                </w14:textFill>
              </w:rPr>
              <w:t>方法、</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分类分级</w:t>
            </w:r>
            <w:r>
              <w:rPr>
                <w:rFonts w:hint="eastAsia" w:ascii="仿宋_GB2312" w:hAnsi="仿宋_GB2312" w:eastAsia="仿宋_GB2312" w:cs="仿宋_GB2312"/>
                <w:color w:val="000000" w:themeColor="text1"/>
                <w:sz w:val="21"/>
                <w:szCs w:val="21"/>
                <w14:textFill>
                  <w14:solidFill>
                    <w14:schemeClr w14:val="tx1"/>
                  </w14:solidFill>
                </w14:textFill>
              </w:rPr>
              <w:t>工具、项目管理制度、</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人员管理、</w:t>
            </w:r>
            <w:r>
              <w:rPr>
                <w:rFonts w:hint="eastAsia" w:ascii="仿宋_GB2312" w:hAnsi="仿宋_GB2312" w:eastAsia="仿宋_GB2312" w:cs="仿宋_GB2312"/>
                <w:color w:val="000000" w:themeColor="text1"/>
                <w:sz w:val="21"/>
                <w:szCs w:val="21"/>
                <w14:textFill>
                  <w14:solidFill>
                    <w14:schemeClr w14:val="tx1"/>
                  </w14:solidFill>
                </w14:textFill>
              </w:rPr>
              <w:t xml:space="preserve">风险防范措施等进行评审： </w:t>
            </w:r>
          </w:p>
          <w:p>
            <w:pPr>
              <w:ind w:firstLine="0" w:firstLineChars="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1.方案完备、详细清晰、可行性高，完全满足且优于采购需求，得1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2分</w:t>
            </w:r>
            <w:r>
              <w:rPr>
                <w:rFonts w:hint="eastAsia" w:ascii="仿宋_GB2312" w:hAnsi="仿宋_GB2312" w:eastAsia="仿宋_GB2312" w:cs="仿宋_GB2312"/>
                <w:color w:val="000000" w:themeColor="text1"/>
                <w:sz w:val="21"/>
                <w:szCs w:val="21"/>
                <w14:textFill>
                  <w14:solidFill>
                    <w14:schemeClr w14:val="tx1"/>
                  </w14:solidFill>
                </w14:textFill>
              </w:rPr>
              <w:t>；</w:t>
            </w:r>
          </w:p>
          <w:p>
            <w:pPr>
              <w:ind w:firstLine="0" w:firstLineChars="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2.方案完整、基本可行，完全满足采购需求，得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8</w:t>
            </w:r>
            <w:r>
              <w:rPr>
                <w:rFonts w:hint="eastAsia" w:ascii="仿宋_GB2312" w:hAnsi="仿宋_GB2312" w:eastAsia="仿宋_GB2312" w:cs="仿宋_GB2312"/>
                <w:color w:val="000000" w:themeColor="text1"/>
                <w:sz w:val="21"/>
                <w:szCs w:val="21"/>
                <w14:textFill>
                  <w14:solidFill>
                    <w14:schemeClr w14:val="tx1"/>
                  </w14:solidFill>
                </w14:textFill>
              </w:rPr>
              <w:t>分；</w:t>
            </w:r>
          </w:p>
          <w:p>
            <w:pPr>
              <w:ind w:firstLine="0" w:firstLineChars="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3.方案不详细、可行性不高、部分满足采购需求，得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分；</w:t>
            </w:r>
          </w:p>
          <w:p>
            <w:pPr>
              <w:ind w:firstLine="0" w:firstLineChars="0"/>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2</w:t>
            </w:r>
          </w:p>
        </w:tc>
        <w:tc>
          <w:tcPr>
            <w:tcW w:w="1601" w:type="dxa"/>
            <w:tcMar>
              <w:top w:w="16" w:type="dxa"/>
              <w:left w:w="16" w:type="dxa"/>
              <w:bottom w:w="0" w:type="dxa"/>
              <w:right w:w="16" w:type="dxa"/>
            </w:tcMar>
            <w:vAlign w:val="center"/>
          </w:tcPr>
          <w:p>
            <w:pPr>
              <w:jc w:val="center"/>
              <w:rPr>
                <w:rFonts w:hint="eastAsia" w:ascii="仿宋_GB2312" w:hAnsi="仿宋_GB2312" w:eastAsia="仿宋_GB2312" w:cs="仿宋_GB2312"/>
                <w:bCs w:val="0"/>
                <w:color w:val="000000" w:themeColor="text1"/>
                <w:sz w:val="21"/>
                <w:szCs w:val="21"/>
                <w14:textFill>
                  <w14:solidFill>
                    <w14:schemeClr w14:val="tx1"/>
                  </w14:solidFill>
                </w14:textFill>
              </w:rPr>
            </w:pPr>
            <w:r>
              <w:rPr>
                <w:rFonts w:hint="eastAsia" w:ascii="仿宋_GB2312" w:hAnsi="仿宋_GB2312" w:eastAsia="仿宋_GB2312" w:cs="仿宋_GB2312"/>
                <w:bCs w:val="0"/>
                <w:color w:val="000000" w:themeColor="text1"/>
                <w:sz w:val="21"/>
                <w:szCs w:val="21"/>
                <w14:textFill>
                  <w14:solidFill>
                    <w14:schemeClr w14:val="tx1"/>
                  </w14:solidFill>
                </w14:textFill>
              </w:rPr>
              <w:t xml:space="preserve">报告模板方案 </w:t>
            </w:r>
          </w:p>
        </w:tc>
        <w:tc>
          <w:tcPr>
            <w:tcW w:w="687" w:type="dxa"/>
            <w:tcMar>
              <w:top w:w="16" w:type="dxa"/>
              <w:left w:w="16" w:type="dxa"/>
              <w:bottom w:w="0" w:type="dxa"/>
              <w:right w:w="16" w:type="dxa"/>
            </w:tcMar>
            <w:vAlign w:val="center"/>
          </w:tcPr>
          <w:p>
            <w:pPr>
              <w:jc w:val="center"/>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10分</w:t>
            </w:r>
          </w:p>
        </w:tc>
        <w:tc>
          <w:tcPr>
            <w:tcW w:w="6713" w:type="dxa"/>
            <w:tcMar>
              <w:top w:w="16" w:type="dxa"/>
              <w:left w:w="16" w:type="dxa"/>
              <w:bottom w:w="0" w:type="dxa"/>
              <w:right w:w="16" w:type="dxa"/>
            </w:tcMar>
            <w:vAlign w:val="center"/>
          </w:tcPr>
          <w:p>
            <w:pPr>
              <w:ind w:firstLine="0" w:firstLineChars="0"/>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根据</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响应供应商</w:t>
            </w: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对本项目技术标准与要求中所提供的报告模板方案</w:t>
            </w: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w:t>
            </w:r>
          </w:p>
          <w:p>
            <w:pPr>
              <w:numPr>
                <w:ilvl w:val="0"/>
                <w:numId w:val="3"/>
              </w:numPr>
              <w:ind w:firstLine="0" w:firstLineChars="0"/>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 xml:space="preserve">方案完整、可操作性高，完全满足或优于采购需求的，得10分； </w:t>
            </w:r>
          </w:p>
          <w:p>
            <w:pPr>
              <w:numPr>
                <w:ilvl w:val="0"/>
                <w:numId w:val="3"/>
              </w:numPr>
              <w:ind w:firstLine="0" w:firstLineChars="0"/>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 xml:space="preserve">方案较完整、可操作性较高，完全满足采购需求的，得7分； </w:t>
            </w:r>
          </w:p>
          <w:p>
            <w:pPr>
              <w:numPr>
                <w:ilvl w:val="0"/>
                <w:numId w:val="0"/>
              </w:numPr>
              <w:ind w:firstLine="0" w:firstLineChars="0"/>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3.方案简单，可操作性一般，</w:t>
            </w:r>
            <w:r>
              <w:rPr>
                <w:rFonts w:hint="eastAsia" w:ascii="仿宋_GB2312" w:hAnsi="仿宋_GB2312" w:eastAsia="仿宋_GB2312" w:cs="仿宋_GB2312"/>
                <w:color w:val="000000" w:themeColor="text1"/>
                <w:sz w:val="21"/>
                <w:szCs w:val="21"/>
                <w14:textFill>
                  <w14:solidFill>
                    <w14:schemeClr w14:val="tx1"/>
                  </w14:solidFill>
                </w14:textFill>
              </w:rPr>
              <w:t>部分满足采购需求</w:t>
            </w: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 xml:space="preserve">，得4分； </w:t>
            </w:r>
          </w:p>
          <w:p>
            <w:pPr>
              <w:numPr>
                <w:ilvl w:val="0"/>
                <w:numId w:val="0"/>
              </w:numPr>
              <w:ind w:firstLine="0" w:firstLineChars="0"/>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3</w:t>
            </w:r>
          </w:p>
        </w:tc>
        <w:tc>
          <w:tcPr>
            <w:tcW w:w="1601" w:type="dxa"/>
            <w:tcMar>
              <w:top w:w="16" w:type="dxa"/>
              <w:left w:w="16" w:type="dxa"/>
              <w:bottom w:w="0" w:type="dxa"/>
              <w:right w:w="16" w:type="dxa"/>
            </w:tcMar>
            <w:vAlign w:val="center"/>
          </w:tcPr>
          <w:p>
            <w:pPr>
              <w:jc w:val="center"/>
              <w:rPr>
                <w:rFonts w:hint="eastAsia" w:ascii="仿宋_GB2312" w:hAnsi="仿宋_GB2312" w:eastAsia="仿宋_GB2312" w:cs="仿宋_GB2312"/>
                <w:bCs w:val="0"/>
                <w:color w:val="000000" w:themeColor="text1"/>
                <w:sz w:val="21"/>
                <w:szCs w:val="21"/>
                <w14:textFill>
                  <w14:solidFill>
                    <w14:schemeClr w14:val="tx1"/>
                  </w14:solidFill>
                </w14:textFill>
              </w:rPr>
            </w:pPr>
            <w:r>
              <w:rPr>
                <w:rFonts w:hint="eastAsia" w:ascii="仿宋_GB2312" w:hAnsi="仿宋_GB2312" w:eastAsia="仿宋_GB2312" w:cs="仿宋_GB2312"/>
                <w:bCs w:val="0"/>
                <w:color w:val="000000" w:themeColor="text1"/>
                <w:sz w:val="21"/>
                <w:szCs w:val="21"/>
                <w14:textFill>
                  <w14:solidFill>
                    <w14:schemeClr w14:val="tx1"/>
                  </w14:solidFill>
                </w14:textFill>
              </w:rPr>
              <w:t>服务工具</w:t>
            </w:r>
          </w:p>
        </w:tc>
        <w:tc>
          <w:tcPr>
            <w:tcW w:w="687" w:type="dxa"/>
            <w:tcMar>
              <w:top w:w="16" w:type="dxa"/>
              <w:left w:w="16" w:type="dxa"/>
              <w:bottom w:w="0" w:type="dxa"/>
              <w:right w:w="16" w:type="dxa"/>
            </w:tcMar>
            <w:vAlign w:val="center"/>
          </w:tcPr>
          <w:p>
            <w:pPr>
              <w:pStyle w:val="5"/>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8分</w:t>
            </w:r>
          </w:p>
        </w:tc>
        <w:tc>
          <w:tcPr>
            <w:tcW w:w="6713" w:type="dxa"/>
            <w:tcMar>
              <w:top w:w="16" w:type="dxa"/>
              <w:left w:w="16" w:type="dxa"/>
              <w:bottom w:w="0" w:type="dxa"/>
              <w:right w:w="16" w:type="dxa"/>
            </w:tcMar>
            <w:vAlign w:val="center"/>
          </w:tcPr>
          <w:p>
            <w:pPr>
              <w:ind w:firstLine="0" w:firstLineChars="0"/>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响应供应商具有</w:t>
            </w: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的</w:t>
            </w: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服务工具</w:t>
            </w: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或相关技术</w:t>
            </w: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w:t>
            </w:r>
          </w:p>
          <w:p>
            <w:pPr>
              <w:numPr>
                <w:ilvl w:val="0"/>
                <w:numId w:val="0"/>
              </w:numPr>
              <w:ind w:firstLine="0" w:firstLineChars="0"/>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每满足一项得1分。</w:t>
            </w:r>
          </w:p>
          <w:p>
            <w:pPr>
              <w:numPr>
                <w:ilvl w:val="0"/>
                <w:numId w:val="0"/>
              </w:numPr>
              <w:ind w:firstLine="0" w:firstLineChars="0"/>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t>本项最高得8分。注：提供以下证明材料之一：1.工具为投标人自有的，提供相关工具软件著作权登记证书复印件（同一个工具包含多个功能的，可按功能得分）并加盖投标人公章；2.工具为投标人从第三方购买的，则需提供相关工具软件著作权登记证书及向版权人购买的工具产品合同关键页（合同封面、内容及双方签章页）复印件并加盖投标人公章；3.工具为投标人租赁的，提供租赁协议/合同和相关工具软件著作权登记证书复印件并加盖投标人公章；4.提供承诺函，承诺合同签订后保证根据采购人需求投入具备上述功能的工具，承诺函中须明确具体配备的工具类别及配备时间。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hint="eastAsia" w:ascii="仿宋_GB2312" w:hAnsi="仿宋_GB2312" w:eastAsia="仿宋_GB2312" w:cs="仿宋_GB2312"/>
                <w:bCs/>
                <w:color w:val="FF0000"/>
                <w:sz w:val="21"/>
                <w:szCs w:val="21"/>
                <w:lang w:val="en-US" w:eastAsia="zh-CN"/>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4</w:t>
            </w:r>
          </w:p>
        </w:tc>
        <w:tc>
          <w:tcPr>
            <w:tcW w:w="1601" w:type="dxa"/>
            <w:tcMar>
              <w:top w:w="16" w:type="dxa"/>
              <w:left w:w="16" w:type="dxa"/>
              <w:bottom w:w="0" w:type="dxa"/>
              <w:right w:w="16" w:type="dxa"/>
            </w:tcMar>
            <w:vAlign w:val="center"/>
          </w:tcPr>
          <w:p>
            <w:pPr>
              <w:jc w:val="center"/>
              <w:rPr>
                <w:rFonts w:hint="eastAsia" w:ascii="仿宋_GB2312" w:hAnsi="仿宋_GB2312" w:eastAsia="仿宋_GB2312" w:cs="仿宋_GB2312"/>
                <w:bCs w:val="0"/>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项目质量方案</w:t>
            </w:r>
          </w:p>
        </w:tc>
        <w:tc>
          <w:tcPr>
            <w:tcW w:w="687" w:type="dxa"/>
            <w:tcMar>
              <w:top w:w="16" w:type="dxa"/>
              <w:left w:w="16" w:type="dxa"/>
              <w:bottom w:w="0" w:type="dxa"/>
              <w:right w:w="16" w:type="dxa"/>
            </w:tcMar>
            <w:vAlign w:val="center"/>
          </w:tcPr>
          <w:p>
            <w:pPr>
              <w:pStyle w:val="5"/>
              <w:jc w:val="center"/>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0</w:t>
            </w:r>
            <w:r>
              <w:rPr>
                <w:rFonts w:hint="eastAsia" w:ascii="仿宋_GB2312" w:hAnsi="仿宋_GB2312" w:eastAsia="仿宋_GB2312" w:cs="仿宋_GB2312"/>
                <w:color w:val="000000" w:themeColor="text1"/>
                <w:sz w:val="21"/>
                <w:szCs w:val="21"/>
                <w14:textFill>
                  <w14:solidFill>
                    <w14:schemeClr w14:val="tx1"/>
                  </w14:solidFill>
                </w14:textFill>
              </w:rPr>
              <w:t>分</w:t>
            </w:r>
          </w:p>
        </w:tc>
        <w:tc>
          <w:tcPr>
            <w:tcW w:w="6713" w:type="dxa"/>
            <w:tcMar>
              <w:top w:w="16" w:type="dxa"/>
              <w:left w:w="16" w:type="dxa"/>
              <w:bottom w:w="0" w:type="dxa"/>
              <w:right w:w="16" w:type="dxa"/>
            </w:tcMar>
            <w:vAlign w:val="center"/>
          </w:tcPr>
          <w:p>
            <w:pPr>
              <w:numPr>
                <w:ilvl w:val="0"/>
                <w:numId w:val="0"/>
              </w:numPr>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根据响应供应商对本项目用户需求中内容提供的质量保障方案，内容包括但不限于对质量监督措施、配置管理措施、对缺陷的控制及纠正措施等进行评审： </w:t>
            </w:r>
          </w:p>
          <w:p>
            <w:pPr>
              <w:ind w:firstLine="0" w:firstLineChars="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1.方案完备、详细清晰、可行性高，完全满足且优于采购需求，得1</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0分</w:t>
            </w:r>
            <w:r>
              <w:rPr>
                <w:rFonts w:hint="eastAsia" w:ascii="仿宋_GB2312" w:hAnsi="仿宋_GB2312" w:eastAsia="仿宋_GB2312" w:cs="仿宋_GB2312"/>
                <w:color w:val="000000" w:themeColor="text1"/>
                <w:sz w:val="21"/>
                <w:szCs w:val="21"/>
                <w14:textFill>
                  <w14:solidFill>
                    <w14:schemeClr w14:val="tx1"/>
                  </w14:solidFill>
                </w14:textFill>
              </w:rPr>
              <w:t>；</w:t>
            </w:r>
          </w:p>
          <w:p>
            <w:pPr>
              <w:ind w:firstLine="0" w:firstLineChars="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2.方案完整、基本可行，完全满足采购需求，得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7</w:t>
            </w:r>
            <w:r>
              <w:rPr>
                <w:rFonts w:hint="eastAsia" w:ascii="仿宋_GB2312" w:hAnsi="仿宋_GB2312" w:eastAsia="仿宋_GB2312" w:cs="仿宋_GB2312"/>
                <w:color w:val="000000" w:themeColor="text1"/>
                <w:sz w:val="21"/>
                <w:szCs w:val="21"/>
                <w14:textFill>
                  <w14:solidFill>
                    <w14:schemeClr w14:val="tx1"/>
                  </w14:solidFill>
                </w14:textFill>
              </w:rPr>
              <w:t>分；</w:t>
            </w:r>
          </w:p>
          <w:p>
            <w:pPr>
              <w:ind w:firstLine="0" w:firstLineChars="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3.方案不详细、可行性不高、部分满足采购需求，得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4</w:t>
            </w:r>
            <w:r>
              <w:rPr>
                <w:rFonts w:hint="eastAsia" w:ascii="仿宋_GB2312" w:hAnsi="仿宋_GB2312" w:eastAsia="仿宋_GB2312" w:cs="仿宋_GB2312"/>
                <w:color w:val="000000" w:themeColor="text1"/>
                <w:sz w:val="21"/>
                <w:szCs w:val="21"/>
                <w14:textFill>
                  <w14:solidFill>
                    <w14:schemeClr w14:val="tx1"/>
                  </w14:solidFill>
                </w14:textFill>
              </w:rPr>
              <w:t>分；</w:t>
            </w:r>
          </w:p>
          <w:p>
            <w:pPr>
              <w:numPr>
                <w:ilvl w:val="0"/>
                <w:numId w:val="0"/>
              </w:numPr>
              <w:jc w:val="left"/>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2173" w:type="dxa"/>
            <w:gridSpan w:val="2"/>
            <w:vAlign w:val="center"/>
          </w:tcPr>
          <w:p>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合计</w:t>
            </w:r>
          </w:p>
        </w:tc>
        <w:tc>
          <w:tcPr>
            <w:tcW w:w="687" w:type="dxa"/>
            <w:vAlign w:val="center"/>
          </w:tcPr>
          <w:p>
            <w:pPr>
              <w:pStyle w:val="5"/>
              <w:jc w:val="center"/>
              <w:rPr>
                <w:rFonts w:hint="eastAsia" w:ascii="仿宋_GB2312" w:hAnsi="仿宋_GB2312" w:eastAsia="仿宋_GB2312" w:cs="仿宋_GB2312"/>
              </w:rPr>
            </w:pPr>
            <w:r>
              <w:rPr>
                <w:rFonts w:hint="eastAsia" w:ascii="仿宋_GB2312" w:hAnsi="仿宋_GB2312" w:eastAsia="仿宋_GB2312" w:cs="仿宋_GB2312"/>
                <w:bCs/>
                <w:lang w:val="en-US" w:eastAsia="zh-CN"/>
              </w:rPr>
              <w:t>4</w:t>
            </w:r>
            <w:r>
              <w:rPr>
                <w:rFonts w:hint="eastAsia" w:ascii="仿宋_GB2312" w:hAnsi="仿宋_GB2312" w:eastAsia="仿宋_GB2312" w:cs="仿宋_GB2312"/>
                <w:bCs/>
              </w:rPr>
              <w:t>0分</w:t>
            </w:r>
          </w:p>
        </w:tc>
        <w:tc>
          <w:tcPr>
            <w:tcW w:w="6713" w:type="dxa"/>
            <w:tcMar>
              <w:top w:w="16" w:type="dxa"/>
              <w:left w:w="16" w:type="dxa"/>
              <w:bottom w:w="0" w:type="dxa"/>
              <w:right w:w="16" w:type="dxa"/>
            </w:tcMar>
            <w:vAlign w:val="center"/>
          </w:tcPr>
          <w:p>
            <w:pPr>
              <w:rPr>
                <w:rFonts w:hint="eastAsia" w:ascii="仿宋_GB2312" w:hAnsi="仿宋_GB2312" w:eastAsia="仿宋_GB2312" w:cs="仿宋_GB2312"/>
                <w:bCs/>
                <w:sz w:val="21"/>
                <w:szCs w:val="21"/>
              </w:rPr>
            </w:pPr>
          </w:p>
        </w:tc>
      </w:tr>
    </w:tbl>
    <w:p>
      <w:pPr>
        <w:spacing w:line="400" w:lineRule="exact"/>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技术</w:t>
      </w:r>
      <w:r>
        <w:rPr>
          <w:rFonts w:hint="eastAsia" w:ascii="仿宋_GB2312" w:hAnsi="仿宋_GB2312" w:eastAsia="仿宋_GB2312" w:cs="仿宋_GB2312"/>
          <w:szCs w:val="24"/>
        </w:rPr>
        <w:t>部分计算公式如下：</w:t>
      </w:r>
    </w:p>
    <w:p>
      <w:pPr>
        <w:spacing w:line="400" w:lineRule="exact"/>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子项</w:t>
      </w:r>
      <w:r>
        <w:rPr>
          <w:rFonts w:hint="eastAsia" w:ascii="仿宋_GB2312" w:hAnsi="仿宋_GB2312" w:eastAsia="仿宋_GB2312" w:cs="仿宋_GB2312"/>
          <w:szCs w:val="24"/>
          <w:lang w:eastAsia="zh-Hans"/>
        </w:rPr>
        <w:t>服务</w:t>
      </w:r>
      <w:r>
        <w:rPr>
          <w:rFonts w:hint="eastAsia" w:ascii="仿宋_GB2312" w:hAnsi="仿宋_GB2312" w:eastAsia="仿宋_GB2312" w:cs="仿宋_GB2312"/>
          <w:szCs w:val="24"/>
        </w:rPr>
        <w:t>评分=（各评委子项评分总和）</w:t>
      </w:r>
      <w:r>
        <w:rPr>
          <w:rFonts w:hint="eastAsia" w:ascii="仿宋_GB2312" w:hAnsi="仿宋_GB2312" w:eastAsia="仿宋_GB2312" w:cs="仿宋_GB2312"/>
          <w:szCs w:val="24"/>
          <w:lang w:val="en-GB"/>
        </w:rPr>
        <w:t>÷评委人数</w:t>
      </w:r>
      <w:r>
        <w:rPr>
          <w:rFonts w:hint="eastAsia" w:ascii="仿宋_GB2312" w:hAnsi="仿宋_GB2312" w:eastAsia="仿宋_GB2312" w:cs="仿宋_GB2312"/>
          <w:szCs w:val="24"/>
          <w:lang w:val="en-GB"/>
        </w:rPr>
        <w:t xml:space="preserve"> </w:t>
      </w:r>
    </w:p>
    <w:p>
      <w:pPr>
        <w:spacing w:line="400" w:lineRule="exact"/>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技术</w:t>
      </w:r>
      <w:r>
        <w:rPr>
          <w:rFonts w:hint="eastAsia" w:ascii="仿宋_GB2312" w:hAnsi="仿宋_GB2312" w:eastAsia="仿宋_GB2312" w:cs="仿宋_GB2312"/>
          <w:szCs w:val="24"/>
        </w:rPr>
        <w:t>得分=各子项技术评分的总和</w:t>
      </w:r>
    </w:p>
    <w:p>
      <w:pPr>
        <w:rPr>
          <w:rFonts w:hint="eastAsia" w:ascii="仿宋_GB2312" w:hAnsi="仿宋_GB2312" w:eastAsia="仿宋_GB2312" w:cs="仿宋_GB2312"/>
        </w:rPr>
      </w:pPr>
    </w:p>
    <w:p>
      <w:pPr>
        <w:numPr>
          <w:ilvl w:val="0"/>
          <w:numId w:val="2"/>
        </w:numPr>
        <w:tabs>
          <w:tab w:val="left" w:pos="510"/>
          <w:tab w:val="left" w:pos="540"/>
        </w:tabs>
        <w:snapToGrid w:val="0"/>
        <w:spacing w:line="400" w:lineRule="exact"/>
        <w:rPr>
          <w:rFonts w:hint="eastAsia" w:ascii="仿宋_GB2312" w:hAnsi="仿宋_GB2312" w:eastAsia="仿宋_GB2312" w:cs="仿宋_GB2312"/>
          <w:szCs w:val="24"/>
          <w:lang w:val="en-GB"/>
        </w:rPr>
      </w:pPr>
      <w:r>
        <w:rPr>
          <w:rFonts w:hint="eastAsia" w:ascii="仿宋_GB2312" w:hAnsi="仿宋_GB2312" w:eastAsia="仿宋_GB2312" w:cs="仿宋_GB2312"/>
          <w:szCs w:val="24"/>
          <w:lang w:val="en-GB"/>
        </w:rPr>
        <w:t>商务部分评审标准（权重</w:t>
      </w:r>
      <w:r>
        <w:rPr>
          <w:rFonts w:hint="eastAsia" w:ascii="仿宋_GB2312" w:hAnsi="仿宋_GB2312" w:eastAsia="仿宋_GB2312" w:cs="仿宋_GB2312"/>
          <w:szCs w:val="24"/>
          <w:lang w:val="en-US" w:eastAsia="zh-CN"/>
        </w:rPr>
        <w:t>3</w:t>
      </w:r>
      <w:r>
        <w:rPr>
          <w:rFonts w:hint="eastAsia" w:ascii="仿宋_GB2312" w:hAnsi="仿宋_GB2312" w:eastAsia="仿宋_GB2312" w:cs="仿宋_GB2312"/>
          <w:szCs w:val="24"/>
        </w:rPr>
        <w:t>0</w:t>
      </w:r>
      <w:r>
        <w:rPr>
          <w:rFonts w:hint="eastAsia" w:ascii="仿宋_GB2312" w:hAnsi="仿宋_GB2312" w:eastAsia="仿宋_GB2312" w:cs="仿宋_GB2312"/>
          <w:szCs w:val="24"/>
          <w:lang w:val="en-GB"/>
        </w:rPr>
        <w:t>%)</w:t>
      </w:r>
    </w:p>
    <w:tbl>
      <w:tblPr>
        <w:tblStyle w:val="9"/>
        <w:tblW w:w="9459" w:type="dxa"/>
        <w:jc w:val="center"/>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8"/>
        <w:gridCol w:w="1412"/>
        <w:gridCol w:w="675"/>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blHeader/>
          <w:jc w:val="center"/>
        </w:trPr>
        <w:tc>
          <w:tcPr>
            <w:tcW w:w="2805" w:type="dxa"/>
            <w:gridSpan w:val="3"/>
            <w:tcMar>
              <w:top w:w="16" w:type="dxa"/>
              <w:left w:w="16" w:type="dxa"/>
              <w:bottom w:w="0" w:type="dxa"/>
              <w:right w:w="16" w:type="dxa"/>
            </w:tcMar>
            <w:vAlign w:val="center"/>
          </w:tcPr>
          <w:p>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评审分项</w:t>
            </w:r>
          </w:p>
        </w:tc>
        <w:tc>
          <w:tcPr>
            <w:tcW w:w="6654" w:type="dxa"/>
            <w:vMerge w:val="restart"/>
            <w:vAlign w:val="center"/>
          </w:tcPr>
          <w:p>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blHeader/>
          <w:jc w:val="center"/>
        </w:trPr>
        <w:tc>
          <w:tcPr>
            <w:tcW w:w="718" w:type="dxa"/>
            <w:tcMar>
              <w:top w:w="16" w:type="dxa"/>
              <w:left w:w="16" w:type="dxa"/>
              <w:bottom w:w="0" w:type="dxa"/>
              <w:right w:w="16" w:type="dxa"/>
            </w:tcMar>
            <w:vAlign w:val="center"/>
          </w:tcPr>
          <w:p>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序号</w:t>
            </w:r>
          </w:p>
        </w:tc>
        <w:tc>
          <w:tcPr>
            <w:tcW w:w="1412" w:type="dxa"/>
            <w:tcMar>
              <w:top w:w="16" w:type="dxa"/>
              <w:left w:w="16" w:type="dxa"/>
              <w:bottom w:w="0" w:type="dxa"/>
              <w:right w:w="16" w:type="dxa"/>
            </w:tcMar>
            <w:vAlign w:val="center"/>
          </w:tcPr>
          <w:p>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内容</w:t>
            </w:r>
          </w:p>
        </w:tc>
        <w:tc>
          <w:tcPr>
            <w:tcW w:w="675" w:type="dxa"/>
            <w:tcMar>
              <w:top w:w="16" w:type="dxa"/>
              <w:left w:w="16" w:type="dxa"/>
              <w:bottom w:w="0" w:type="dxa"/>
              <w:right w:w="16" w:type="dxa"/>
            </w:tcMar>
            <w:vAlign w:val="center"/>
          </w:tcPr>
          <w:p>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分值</w:t>
            </w:r>
          </w:p>
        </w:tc>
        <w:tc>
          <w:tcPr>
            <w:tcW w:w="6654" w:type="dxa"/>
            <w:vMerge w:val="continue"/>
            <w:tcMar>
              <w:top w:w="16" w:type="dxa"/>
              <w:left w:w="16" w:type="dxa"/>
              <w:bottom w:w="0" w:type="dxa"/>
              <w:right w:w="16" w:type="dxa"/>
            </w:tcMar>
            <w:vAlign w:val="center"/>
          </w:tcPr>
          <w:p>
            <w:pPr>
              <w:jc w:val="center"/>
              <w:rPr>
                <w:rFonts w:hint="eastAsia" w:ascii="仿宋_GB2312" w:hAnsi="仿宋_GB2312" w:eastAsia="仿宋_GB2312"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18" w:type="dxa"/>
            <w:tcMar>
              <w:top w:w="16" w:type="dxa"/>
              <w:left w:w="16" w:type="dxa"/>
              <w:bottom w:w="0" w:type="dxa"/>
              <w:right w:w="16" w:type="dxa"/>
            </w:tcMar>
            <w:vAlign w:val="center"/>
          </w:tcPr>
          <w:p>
            <w:pPr>
              <w:jc w:val="center"/>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1</w:t>
            </w:r>
          </w:p>
        </w:tc>
        <w:tc>
          <w:tcPr>
            <w:tcW w:w="1412" w:type="dxa"/>
            <w:tcMar>
              <w:top w:w="16" w:type="dxa"/>
              <w:left w:w="16" w:type="dxa"/>
              <w:bottom w:w="0" w:type="dxa"/>
              <w:right w:w="16" w:type="dxa"/>
            </w:tcMar>
            <w:vAlign w:val="center"/>
          </w:tcPr>
          <w:p>
            <w:pPr>
              <w:jc w:val="center"/>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同类业绩情况</w:t>
            </w:r>
          </w:p>
        </w:tc>
        <w:tc>
          <w:tcPr>
            <w:tcW w:w="675" w:type="dxa"/>
            <w:tcMar>
              <w:top w:w="16" w:type="dxa"/>
              <w:left w:w="16" w:type="dxa"/>
              <w:bottom w:w="0" w:type="dxa"/>
              <w:right w:w="16" w:type="dxa"/>
            </w:tcMar>
            <w:vAlign w:val="center"/>
          </w:tcPr>
          <w:p>
            <w:pPr>
              <w:jc w:val="center"/>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9</w:t>
            </w:r>
            <w:r>
              <w:rPr>
                <w:rFonts w:hint="eastAsia" w:ascii="仿宋_GB2312" w:hAnsi="仿宋_GB2312" w:eastAsia="仿宋_GB2312" w:cs="仿宋_GB2312"/>
                <w:bCs/>
                <w:color w:val="000000" w:themeColor="text1"/>
                <w:sz w:val="21"/>
                <w:szCs w:val="21"/>
                <w14:textFill>
                  <w14:solidFill>
                    <w14:schemeClr w14:val="tx1"/>
                  </w14:solidFill>
                </w14:textFill>
              </w:rPr>
              <w:t>分</w:t>
            </w:r>
          </w:p>
        </w:tc>
        <w:tc>
          <w:tcPr>
            <w:tcW w:w="6654" w:type="dxa"/>
            <w:tcMar>
              <w:top w:w="16" w:type="dxa"/>
              <w:left w:w="16" w:type="dxa"/>
              <w:bottom w:w="0" w:type="dxa"/>
              <w:right w:w="16" w:type="dxa"/>
            </w:tcMar>
            <w:vAlign w:val="center"/>
          </w:tcPr>
          <w:p>
            <w:pPr>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投标人自 202</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14:textFill>
                  <w14:solidFill>
                    <w14:schemeClr w14:val="tx1"/>
                  </w14:solidFill>
                </w14:textFill>
              </w:rPr>
              <w:t xml:space="preserve"> 年1月1日至本项目投标截止之日（以合同签订时间为准），提供同类项目</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业绩（数据分类分级或数据安全风险评估）</w:t>
            </w:r>
            <w:r>
              <w:rPr>
                <w:rFonts w:hint="eastAsia" w:ascii="仿宋_GB2312" w:hAnsi="仿宋_GB2312" w:eastAsia="仿宋_GB2312" w:cs="仿宋_GB2312"/>
                <w:color w:val="000000" w:themeColor="text1"/>
                <w:sz w:val="21"/>
                <w:szCs w:val="21"/>
                <w14:textFill>
                  <w14:solidFill>
                    <w14:schemeClr w14:val="tx1"/>
                  </w14:solidFill>
                </w14:textFill>
              </w:rPr>
              <w:t>，每提供1个符合要求的项目案例得</w:t>
            </w:r>
            <w:r>
              <w:rPr>
                <w:rFonts w:hint="eastAsia" w:ascii="仿宋_GB2312" w:hAnsi="仿宋_GB2312" w:eastAsia="仿宋_GB2312" w:cs="仿宋_GB2312"/>
                <w:color w:val="000000" w:themeColor="text1"/>
                <w:sz w:val="21"/>
                <w:szCs w:val="21"/>
                <w:lang w:eastAsia="zh-CN"/>
                <w14:textFill>
                  <w14:solidFill>
                    <w14:schemeClr w14:val="tx1"/>
                  </w14:solidFill>
                </w14:textFill>
              </w:rPr>
              <w:t>3</w:t>
            </w:r>
            <w:r>
              <w:rPr>
                <w:rFonts w:hint="eastAsia" w:ascii="仿宋_GB2312" w:hAnsi="仿宋_GB2312" w:eastAsia="仿宋_GB2312" w:cs="仿宋_GB2312"/>
                <w:color w:val="000000" w:themeColor="text1"/>
                <w:sz w:val="21"/>
                <w:szCs w:val="21"/>
                <w14:textFill>
                  <w14:solidFill>
                    <w14:schemeClr w14:val="tx1"/>
                  </w14:solidFill>
                </w14:textFill>
              </w:rPr>
              <w:t>分，本项最高得</w:t>
            </w:r>
            <w:r>
              <w:rPr>
                <w:rFonts w:hint="eastAsia" w:ascii="仿宋_GB2312" w:hAnsi="仿宋_GB2312" w:eastAsia="仿宋_GB2312" w:cs="仿宋_GB2312"/>
                <w:color w:val="000000" w:themeColor="text1"/>
                <w:sz w:val="21"/>
                <w:szCs w:val="21"/>
                <w:lang w:eastAsia="zh-CN"/>
                <w14:textFill>
                  <w14:solidFill>
                    <w14:schemeClr w14:val="tx1"/>
                  </w14:solidFill>
                </w14:textFill>
              </w:rPr>
              <w:t>9</w:t>
            </w:r>
            <w:r>
              <w:rPr>
                <w:rFonts w:hint="eastAsia" w:ascii="仿宋_GB2312" w:hAnsi="仿宋_GB2312" w:eastAsia="仿宋_GB2312" w:cs="仿宋_GB2312"/>
                <w:color w:val="000000" w:themeColor="text1"/>
                <w:sz w:val="21"/>
                <w:szCs w:val="21"/>
                <w14:textFill>
                  <w14:solidFill>
                    <w14:schemeClr w14:val="tx1"/>
                  </w14:solidFill>
                </w14:textFill>
              </w:rPr>
              <w:t>分。注：需提供业绩合同关键页扫描件加盖投标人公章</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14:textFill>
                  <w14:solidFill>
                    <w14:schemeClr w14:val="tx1"/>
                  </w14:solidFill>
                </w14:textFill>
              </w:rPr>
              <w:t>不提供或提供不全不得分</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18" w:type="dxa"/>
            <w:tcMar>
              <w:top w:w="16" w:type="dxa"/>
              <w:left w:w="16" w:type="dxa"/>
              <w:bottom w:w="0" w:type="dxa"/>
              <w:right w:w="16" w:type="dxa"/>
            </w:tcMar>
            <w:vAlign w:val="center"/>
          </w:tcPr>
          <w:p>
            <w:pPr>
              <w:jc w:val="center"/>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2</w:t>
            </w:r>
          </w:p>
        </w:tc>
        <w:tc>
          <w:tcPr>
            <w:tcW w:w="1412" w:type="dxa"/>
            <w:tcMar>
              <w:top w:w="16" w:type="dxa"/>
              <w:left w:w="16" w:type="dxa"/>
              <w:bottom w:w="0" w:type="dxa"/>
              <w:right w:w="16" w:type="dxa"/>
            </w:tcMar>
            <w:vAlign w:val="center"/>
          </w:tcPr>
          <w:p>
            <w:pPr>
              <w:jc w:val="center"/>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供应商荣誉</w:t>
            </w:r>
          </w:p>
        </w:tc>
        <w:tc>
          <w:tcPr>
            <w:tcW w:w="675" w:type="dxa"/>
            <w:tcMar>
              <w:top w:w="16" w:type="dxa"/>
              <w:left w:w="16" w:type="dxa"/>
              <w:bottom w:w="0" w:type="dxa"/>
              <w:right w:w="16" w:type="dxa"/>
            </w:tcMar>
            <w:vAlign w:val="center"/>
          </w:tcPr>
          <w:p>
            <w:pPr>
              <w:jc w:val="center"/>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9</w:t>
            </w:r>
            <w:r>
              <w:rPr>
                <w:rFonts w:hint="eastAsia" w:ascii="仿宋_GB2312" w:hAnsi="仿宋_GB2312" w:eastAsia="仿宋_GB2312" w:cs="仿宋_GB2312"/>
                <w:bCs/>
                <w:color w:val="000000" w:themeColor="text1"/>
                <w:sz w:val="21"/>
                <w:szCs w:val="21"/>
                <w14:textFill>
                  <w14:solidFill>
                    <w14:schemeClr w14:val="tx1"/>
                  </w14:solidFill>
                </w14:textFill>
              </w:rPr>
              <w:t>分</w:t>
            </w:r>
          </w:p>
        </w:tc>
        <w:tc>
          <w:tcPr>
            <w:tcW w:w="6654" w:type="dxa"/>
            <w:tcMar>
              <w:top w:w="16" w:type="dxa"/>
              <w:left w:w="16" w:type="dxa"/>
              <w:bottom w:w="0" w:type="dxa"/>
              <w:right w:w="16" w:type="dxa"/>
            </w:tcMar>
            <w:vAlign w:val="center"/>
          </w:tcPr>
          <w:p>
            <w:pP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获得于相关证书的，每提供一份得3分，本项目最高得9分。</w:t>
            </w:r>
          </w:p>
          <w:p>
            <w:pP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注：以上证书需提供复印件并加盖投标人公章，不提供不得分。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18" w:type="dxa"/>
            <w:tcMar>
              <w:top w:w="16" w:type="dxa"/>
              <w:left w:w="16" w:type="dxa"/>
              <w:bottom w:w="0" w:type="dxa"/>
              <w:right w:w="16" w:type="dxa"/>
            </w:tcMar>
            <w:vAlign w:val="center"/>
          </w:tcPr>
          <w:p>
            <w:pPr>
              <w:jc w:val="cente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z w:val="21"/>
                <w:szCs w:val="21"/>
                <w:lang w:val="en-US" w:eastAsia="zh-CN"/>
                <w14:textFill>
                  <w14:solidFill>
                    <w14:schemeClr w14:val="tx1"/>
                  </w14:solidFill>
                </w14:textFill>
              </w:rPr>
              <w:t>3</w:t>
            </w:r>
          </w:p>
        </w:tc>
        <w:tc>
          <w:tcPr>
            <w:tcW w:w="1412" w:type="dxa"/>
            <w:tcMar>
              <w:top w:w="16" w:type="dxa"/>
              <w:left w:w="16" w:type="dxa"/>
              <w:bottom w:w="0" w:type="dxa"/>
              <w:right w:w="16" w:type="dxa"/>
            </w:tcMar>
            <w:vAlign w:val="center"/>
          </w:tcPr>
          <w:p>
            <w:pPr>
              <w:jc w:val="center"/>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 xml:space="preserve">投标人拟投入项目实施团队人员资质 </w:t>
            </w:r>
          </w:p>
        </w:tc>
        <w:tc>
          <w:tcPr>
            <w:tcW w:w="675" w:type="dxa"/>
            <w:tcMar>
              <w:top w:w="16" w:type="dxa"/>
              <w:left w:w="16" w:type="dxa"/>
              <w:bottom w:w="0" w:type="dxa"/>
              <w:right w:w="16" w:type="dxa"/>
            </w:tcMar>
            <w:vAlign w:val="center"/>
          </w:tcPr>
          <w:p>
            <w:pPr>
              <w:jc w:val="center"/>
              <w:rPr>
                <w:rFonts w:hint="eastAsia" w:ascii="仿宋_GB2312" w:hAnsi="仿宋_GB2312" w:eastAsia="仿宋_GB2312" w:cs="仿宋_GB2312"/>
                <w:bCs w:val="0"/>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Cs w:val="0"/>
                <w:color w:val="000000" w:themeColor="text1"/>
                <w:sz w:val="21"/>
                <w:szCs w:val="21"/>
                <w:lang w:val="en-US" w:eastAsia="zh-CN"/>
                <w14:textFill>
                  <w14:solidFill>
                    <w14:schemeClr w14:val="tx1"/>
                  </w14:solidFill>
                </w14:textFill>
              </w:rPr>
              <w:t>12分</w:t>
            </w:r>
          </w:p>
        </w:tc>
        <w:tc>
          <w:tcPr>
            <w:tcW w:w="6654" w:type="dxa"/>
            <w:tcMar>
              <w:top w:w="16" w:type="dxa"/>
              <w:left w:w="16" w:type="dxa"/>
              <w:bottom w:w="0" w:type="dxa"/>
              <w:right w:w="16" w:type="dxa"/>
            </w:tcMar>
            <w:vAlign w:val="center"/>
          </w:tcPr>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根据</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响应供应商</w:t>
            </w:r>
            <w:r>
              <w:rPr>
                <w:rFonts w:hint="eastAsia" w:ascii="仿宋_GB2312" w:hAnsi="仿宋_GB2312" w:eastAsia="仿宋_GB2312" w:cs="仿宋_GB2312"/>
                <w:color w:val="000000" w:themeColor="text1"/>
                <w:sz w:val="21"/>
                <w:szCs w:val="21"/>
                <w14:textFill>
                  <w14:solidFill>
                    <w14:schemeClr w14:val="tx1"/>
                  </w14:solidFill>
                </w14:textFill>
              </w:rPr>
              <w:t>拟投入本项目的项目实施团队人员情况进行评审：</w:t>
            </w:r>
          </w:p>
          <w:p>
            <w:pP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涉及数据分类分级或数据安全风险评估</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相关的证书，如人员资质证书等。每提供一份得2分，</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本项目最高得</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12分。</w:t>
            </w:r>
          </w:p>
          <w:p>
            <w:pP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注:需提供人员相关证书复印件及提交响应文件截止前</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任意一</w:t>
            </w:r>
            <w:r>
              <w:rPr>
                <w:rFonts w:hint="eastAsia" w:ascii="仿宋_GB2312" w:hAnsi="仿宋_GB2312" w:eastAsia="仿宋_GB2312" w:cs="仿宋_GB2312"/>
                <w:color w:val="000000" w:themeColor="text1"/>
                <w:sz w:val="21"/>
                <w:szCs w:val="21"/>
                <w14:textFill>
                  <w14:solidFill>
                    <w14:schemeClr w14:val="tx1"/>
                  </w14:solidFill>
                </w14:textFill>
              </w:rPr>
              <w:t>个月(不含截止当月)供应商为其缴纳的社保凭证，不提供或提供不全对应分项不得分。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2130" w:type="dxa"/>
            <w:gridSpan w:val="2"/>
            <w:vAlign w:val="center"/>
          </w:tcPr>
          <w:p>
            <w:pPr>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合计</w:t>
            </w:r>
          </w:p>
        </w:tc>
        <w:tc>
          <w:tcPr>
            <w:tcW w:w="675" w:type="dxa"/>
            <w:vAlign w:val="center"/>
          </w:tcPr>
          <w:p>
            <w:pPr>
              <w:pStyle w:val="5"/>
              <w:jc w:val="center"/>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0分</w:t>
            </w:r>
          </w:p>
        </w:tc>
        <w:tc>
          <w:tcPr>
            <w:tcW w:w="6654" w:type="dxa"/>
            <w:tcMar>
              <w:top w:w="16" w:type="dxa"/>
              <w:left w:w="16" w:type="dxa"/>
              <w:bottom w:w="0" w:type="dxa"/>
              <w:right w:w="16" w:type="dxa"/>
            </w:tcMar>
            <w:vAlign w:val="center"/>
          </w:tcPr>
          <w:p>
            <w:pPr>
              <w:rPr>
                <w:rFonts w:hint="eastAsia" w:ascii="仿宋_GB2312" w:hAnsi="仿宋_GB2312" w:eastAsia="仿宋_GB2312" w:cs="仿宋_GB2312"/>
                <w:bCs/>
                <w:sz w:val="21"/>
                <w:szCs w:val="21"/>
              </w:rPr>
            </w:pPr>
          </w:p>
        </w:tc>
      </w:tr>
    </w:tbl>
    <w:p>
      <w:pPr>
        <w:spacing w:line="460" w:lineRule="exact"/>
        <w:rPr>
          <w:rFonts w:hint="eastAsia" w:ascii="仿宋_GB2312" w:hAnsi="仿宋_GB2312" w:eastAsia="仿宋_GB2312" w:cs="仿宋_GB2312"/>
          <w:szCs w:val="24"/>
        </w:rPr>
      </w:pPr>
      <w:r>
        <w:rPr>
          <w:rFonts w:hint="eastAsia" w:ascii="仿宋_GB2312" w:hAnsi="仿宋_GB2312" w:eastAsia="仿宋_GB2312" w:cs="仿宋_GB2312"/>
          <w:szCs w:val="24"/>
          <w:lang w:val="en-GB"/>
        </w:rPr>
        <w:t>商务</w:t>
      </w:r>
      <w:r>
        <w:rPr>
          <w:rFonts w:hint="eastAsia" w:ascii="仿宋_GB2312" w:hAnsi="仿宋_GB2312" w:eastAsia="仿宋_GB2312" w:cs="仿宋_GB2312"/>
          <w:szCs w:val="24"/>
        </w:rPr>
        <w:t>部分计算公式如下：</w:t>
      </w:r>
    </w:p>
    <w:p>
      <w:pPr>
        <w:spacing w:line="460" w:lineRule="exact"/>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子项</w:t>
      </w:r>
      <w:r>
        <w:rPr>
          <w:rFonts w:hint="eastAsia" w:ascii="仿宋_GB2312" w:hAnsi="仿宋_GB2312" w:eastAsia="仿宋_GB2312" w:cs="仿宋_GB2312"/>
          <w:szCs w:val="24"/>
          <w:lang w:val="en-GB"/>
        </w:rPr>
        <w:t>商务</w:t>
      </w:r>
      <w:r>
        <w:rPr>
          <w:rFonts w:hint="eastAsia" w:ascii="仿宋_GB2312" w:hAnsi="仿宋_GB2312" w:eastAsia="仿宋_GB2312" w:cs="仿宋_GB2312"/>
          <w:szCs w:val="24"/>
        </w:rPr>
        <w:t>评分=（各评委子项评分总和）</w:t>
      </w:r>
      <w:r>
        <w:rPr>
          <w:rFonts w:hint="eastAsia" w:ascii="仿宋_GB2312" w:hAnsi="仿宋_GB2312" w:eastAsia="仿宋_GB2312" w:cs="仿宋_GB2312"/>
          <w:szCs w:val="24"/>
          <w:lang w:val="en-GB"/>
        </w:rPr>
        <w:t>÷评委人数</w:t>
      </w:r>
      <w:r>
        <w:rPr>
          <w:rFonts w:hint="eastAsia" w:ascii="仿宋_GB2312" w:hAnsi="仿宋_GB2312" w:eastAsia="仿宋_GB2312" w:cs="仿宋_GB2312"/>
          <w:szCs w:val="24"/>
          <w:lang w:val="en-GB"/>
        </w:rPr>
        <w:t xml:space="preserve"> </w:t>
      </w:r>
    </w:p>
    <w:p>
      <w:pPr>
        <w:spacing w:line="46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szCs w:val="24"/>
          <w:lang w:val="en-GB"/>
        </w:rPr>
        <w:t>商务</w:t>
      </w:r>
      <w:r>
        <w:rPr>
          <w:rFonts w:hint="eastAsia" w:ascii="仿宋_GB2312" w:hAnsi="仿宋_GB2312" w:eastAsia="仿宋_GB2312" w:cs="仿宋_GB2312"/>
          <w:szCs w:val="24"/>
        </w:rPr>
        <w:t>得分=各子项</w:t>
      </w:r>
      <w:r>
        <w:rPr>
          <w:rFonts w:hint="eastAsia" w:ascii="仿宋_GB2312" w:hAnsi="仿宋_GB2312" w:eastAsia="仿宋_GB2312" w:cs="仿宋_GB2312"/>
          <w:szCs w:val="24"/>
          <w:lang w:val="en-GB"/>
        </w:rPr>
        <w:t>商务</w:t>
      </w:r>
      <w:r>
        <w:rPr>
          <w:rFonts w:hint="eastAsia" w:ascii="仿宋_GB2312" w:hAnsi="仿宋_GB2312" w:eastAsia="仿宋_GB2312" w:cs="仿宋_GB2312"/>
          <w:szCs w:val="24"/>
        </w:rPr>
        <w:t>评分的总和</w:t>
      </w:r>
    </w:p>
    <w:p>
      <w:pPr>
        <w:numPr>
          <w:ilvl w:val="0"/>
          <w:numId w:val="2"/>
        </w:numPr>
        <w:tabs>
          <w:tab w:val="left" w:pos="510"/>
          <w:tab w:val="left" w:pos="540"/>
        </w:tabs>
        <w:snapToGrid w:val="0"/>
        <w:spacing w:line="460" w:lineRule="exact"/>
        <w:rPr>
          <w:rFonts w:hint="eastAsia" w:ascii="仿宋_GB2312" w:hAnsi="仿宋_GB2312" w:eastAsia="仿宋_GB2312" w:cs="仿宋_GB2312"/>
          <w:szCs w:val="24"/>
          <w:lang w:val="en-GB"/>
        </w:rPr>
      </w:pPr>
      <w:r>
        <w:rPr>
          <w:rFonts w:hint="eastAsia" w:ascii="仿宋_GB2312" w:hAnsi="仿宋_GB2312" w:eastAsia="仿宋_GB2312" w:cs="仿宋_GB2312"/>
          <w:szCs w:val="24"/>
          <w:lang w:val="en-GB"/>
        </w:rPr>
        <w:t>价格部分（权重</w:t>
      </w:r>
      <w:r>
        <w:rPr>
          <w:rFonts w:hint="eastAsia" w:ascii="仿宋_GB2312" w:hAnsi="仿宋_GB2312" w:eastAsia="仿宋_GB2312" w:cs="仿宋_GB2312"/>
          <w:szCs w:val="24"/>
          <w:lang w:val="en-US" w:eastAsia="zh-CN"/>
        </w:rPr>
        <w:t>3</w:t>
      </w:r>
      <w:r>
        <w:rPr>
          <w:rFonts w:hint="eastAsia" w:ascii="仿宋_GB2312" w:hAnsi="仿宋_GB2312" w:eastAsia="仿宋_GB2312" w:cs="仿宋_GB2312"/>
          <w:szCs w:val="24"/>
          <w:lang w:val="en-GB"/>
        </w:rPr>
        <w:t>0%)</w:t>
      </w:r>
    </w:p>
    <w:p>
      <w:pPr>
        <w:tabs>
          <w:tab w:val="left" w:pos="510"/>
          <w:tab w:val="left" w:pos="540"/>
        </w:tabs>
        <w:spacing w:line="500" w:lineRule="exact"/>
        <w:ind w:firstLine="420" w:firstLineChars="200"/>
        <w:rPr>
          <w:rFonts w:hint="eastAsia" w:ascii="仿宋_GB2312" w:hAnsi="仿宋_GB2312" w:eastAsia="仿宋_GB2312" w:cs="仿宋_GB2312"/>
          <w:szCs w:val="24"/>
          <w:lang w:val="en-GB"/>
        </w:rPr>
      </w:pPr>
      <w:r>
        <w:rPr>
          <w:rFonts w:hint="eastAsia" w:ascii="仿宋_GB2312" w:hAnsi="仿宋_GB2312" w:eastAsia="仿宋_GB2312" w:cs="仿宋_GB2312"/>
          <w:szCs w:val="24"/>
          <w:lang w:val="en-GB"/>
        </w:rPr>
        <w:t>综合评分法中的价格分统一采用低价优先计算，经评标委员会审核，满足要求，最终报价最低的供应商的价格为磋商基准价，其价格分为满分。其他供应商的价格分统一按下列公式折算递减。</w:t>
      </w:r>
    </w:p>
    <w:p>
      <w:pPr>
        <w:tabs>
          <w:tab w:val="left" w:pos="540"/>
        </w:tabs>
        <w:snapToGrid w:val="0"/>
        <w:spacing w:line="500" w:lineRule="exact"/>
        <w:ind w:left="510"/>
        <w:rPr>
          <w:rFonts w:hint="eastAsia" w:ascii="仿宋_GB2312" w:hAnsi="仿宋_GB2312" w:eastAsia="仿宋_GB2312" w:cs="仿宋_GB2312"/>
          <w:szCs w:val="24"/>
          <w:lang w:val="en-GB"/>
        </w:rPr>
      </w:pPr>
      <w:r>
        <w:rPr>
          <w:rFonts w:hint="eastAsia" w:ascii="仿宋_GB2312" w:hAnsi="仿宋_GB2312" w:eastAsia="仿宋_GB2312" w:cs="仿宋_GB2312"/>
          <w:szCs w:val="24"/>
          <w:lang w:val="en-GB"/>
        </w:rPr>
        <w:t>即：磋商</w:t>
      </w:r>
      <w:r>
        <w:rPr>
          <w:rFonts w:hint="eastAsia" w:ascii="仿宋_GB2312" w:hAnsi="仿宋_GB2312" w:eastAsia="仿宋_GB2312" w:cs="仿宋_GB2312"/>
          <w:szCs w:val="24"/>
        </w:rPr>
        <w:t>报价得分</w:t>
      </w:r>
      <w:r>
        <w:rPr>
          <w:rFonts w:hint="eastAsia" w:ascii="仿宋_GB2312" w:hAnsi="仿宋_GB2312" w:eastAsia="仿宋_GB2312" w:cs="仿宋_GB2312"/>
          <w:szCs w:val="24"/>
        </w:rPr>
        <w:t>=</w:t>
      </w:r>
      <w:r>
        <w:rPr>
          <w:rFonts w:hint="eastAsia" w:ascii="仿宋_GB2312" w:hAnsi="仿宋_GB2312" w:eastAsia="仿宋_GB2312" w:cs="仿宋_GB2312"/>
          <w:szCs w:val="24"/>
        </w:rPr>
        <w:t>（</w:t>
      </w:r>
      <w:r>
        <w:rPr>
          <w:rFonts w:hint="eastAsia" w:ascii="仿宋_GB2312" w:hAnsi="仿宋_GB2312" w:eastAsia="仿宋_GB2312" w:cs="仿宋_GB2312"/>
          <w:szCs w:val="24"/>
          <w:lang w:val="en-GB"/>
        </w:rPr>
        <w:t>磋商</w:t>
      </w:r>
      <w:r>
        <w:rPr>
          <w:rFonts w:hint="eastAsia" w:ascii="仿宋_GB2312" w:hAnsi="仿宋_GB2312" w:eastAsia="仿宋_GB2312" w:cs="仿宋_GB2312"/>
          <w:szCs w:val="24"/>
        </w:rPr>
        <w:t>基准价</w:t>
      </w:r>
      <w:r>
        <w:rPr>
          <w:rFonts w:hint="eastAsia" w:ascii="仿宋_GB2312" w:hAnsi="仿宋_GB2312" w:eastAsia="仿宋_GB2312" w:cs="仿宋_GB2312"/>
          <w:szCs w:val="24"/>
        </w:rPr>
        <w:t>/</w:t>
      </w:r>
      <w:r>
        <w:rPr>
          <w:rFonts w:hint="eastAsia" w:ascii="仿宋_GB2312" w:hAnsi="仿宋_GB2312" w:eastAsia="仿宋_GB2312" w:cs="仿宋_GB2312"/>
          <w:szCs w:val="24"/>
        </w:rPr>
        <w:t>最终磋商报价（修正后））×</w:t>
      </w:r>
      <w:r>
        <w:rPr>
          <w:rFonts w:hint="eastAsia" w:ascii="仿宋_GB2312" w:hAnsi="仿宋_GB2312" w:eastAsia="仿宋_GB2312" w:cs="仿宋_GB2312"/>
          <w:szCs w:val="24"/>
          <w:lang w:val="en-GB"/>
        </w:rPr>
        <w:t>价格权重</w:t>
      </w:r>
      <w:r>
        <w:rPr>
          <w:rFonts w:hint="eastAsia" w:ascii="仿宋_GB2312" w:hAnsi="仿宋_GB2312" w:eastAsia="仿宋_GB2312" w:cs="仿宋_GB2312"/>
          <w:szCs w:val="24"/>
        </w:rPr>
        <w:t>×100</w:t>
      </w:r>
    </w:p>
    <w:p>
      <w:pPr>
        <w:tabs>
          <w:tab w:val="left" w:pos="540"/>
        </w:tabs>
        <w:snapToGrid w:val="0"/>
        <w:spacing w:line="500" w:lineRule="exact"/>
        <w:ind w:left="510"/>
        <w:rPr>
          <w:rFonts w:hint="eastAsia" w:ascii="仿宋_GB2312" w:hAnsi="仿宋_GB2312" w:eastAsia="仿宋_GB2312" w:cs="仿宋_GB2312"/>
          <w:szCs w:val="24"/>
          <w:lang w:val="en-GB"/>
        </w:rPr>
      </w:pPr>
      <w:r>
        <w:rPr>
          <w:rFonts w:hint="eastAsia" w:ascii="仿宋_GB2312" w:hAnsi="仿宋_GB2312" w:eastAsia="仿宋_GB2312" w:cs="仿宋_GB2312"/>
          <w:szCs w:val="24"/>
          <w:lang w:val="en-GB"/>
        </w:rPr>
        <w:t>（评标基准价、得分均精确到两位小数）</w:t>
      </w:r>
    </w:p>
    <w:p>
      <w:pPr>
        <w:numPr>
          <w:ilvl w:val="0"/>
          <w:numId w:val="4"/>
        </w:numPr>
        <w:tabs>
          <w:tab w:val="left" w:pos="540"/>
        </w:tabs>
        <w:snapToGrid w:val="0"/>
        <w:spacing w:line="500" w:lineRule="exact"/>
        <w:rPr>
          <w:rFonts w:hint="eastAsia" w:ascii="仿宋_GB2312" w:hAnsi="仿宋_GB2312" w:eastAsia="仿宋_GB2312" w:cs="仿宋_GB2312"/>
          <w:b/>
          <w:szCs w:val="24"/>
          <w:lang w:val="en-GB"/>
        </w:rPr>
      </w:pPr>
      <w:r>
        <w:rPr>
          <w:rFonts w:hint="eastAsia" w:ascii="仿宋_GB2312" w:hAnsi="仿宋_GB2312" w:eastAsia="仿宋_GB2312" w:cs="仿宋_GB2312"/>
          <w:b/>
          <w:szCs w:val="24"/>
          <w:lang w:val="en-GB"/>
        </w:rPr>
        <w:t>评分汇总</w:t>
      </w:r>
    </w:p>
    <w:p>
      <w:pPr>
        <w:tabs>
          <w:tab w:val="left" w:pos="540"/>
        </w:tabs>
        <w:spacing w:line="500" w:lineRule="exact"/>
        <w:ind w:left="510"/>
        <w:rPr>
          <w:rFonts w:hint="eastAsia" w:ascii="仿宋_GB2312" w:hAnsi="仿宋_GB2312" w:eastAsia="仿宋_GB2312" w:cs="仿宋_GB2312"/>
          <w:szCs w:val="24"/>
        </w:rPr>
      </w:pPr>
      <w:r>
        <w:rPr>
          <w:rFonts w:hint="eastAsia" w:ascii="仿宋_GB2312" w:hAnsi="仿宋_GB2312" w:eastAsia="仿宋_GB2312" w:cs="仿宋_GB2312"/>
          <w:szCs w:val="24"/>
          <w:lang w:val="en-US" w:eastAsia="zh-CN"/>
        </w:rPr>
        <w:t>技术</w:t>
      </w:r>
      <w:r>
        <w:rPr>
          <w:rFonts w:hint="eastAsia" w:ascii="仿宋_GB2312" w:hAnsi="仿宋_GB2312" w:eastAsia="仿宋_GB2312" w:cs="仿宋_GB2312"/>
          <w:szCs w:val="24"/>
          <w:lang w:val="en-GB"/>
        </w:rPr>
        <w:t>部分得</w:t>
      </w:r>
      <w:r>
        <w:rPr>
          <w:rFonts w:hint="eastAsia" w:ascii="仿宋_GB2312" w:hAnsi="仿宋_GB2312" w:eastAsia="仿宋_GB2312" w:cs="仿宋_GB2312"/>
          <w:szCs w:val="24"/>
          <w:lang w:val="en-GB"/>
        </w:rPr>
        <w:t>分</w:t>
      </w:r>
      <w:r>
        <w:rPr>
          <w:rFonts w:hint="eastAsia" w:ascii="仿宋_GB2312" w:hAnsi="仿宋_GB2312" w:eastAsia="仿宋_GB2312" w:cs="仿宋_GB2312"/>
          <w:szCs w:val="24"/>
          <w:lang w:val="en-GB"/>
        </w:rPr>
        <w:t xml:space="preserve"> </w:t>
      </w:r>
      <w:r>
        <w:rPr>
          <w:rFonts w:hint="eastAsia" w:ascii="仿宋_GB2312" w:hAnsi="仿宋_GB2312" w:eastAsia="仿宋_GB2312" w:cs="仿宋_GB2312"/>
          <w:szCs w:val="24"/>
          <w:lang w:val="en-GB"/>
        </w:rPr>
        <w:t>＝</w:t>
      </w:r>
      <w:r>
        <w:rPr>
          <w:rFonts w:hint="eastAsia" w:ascii="仿宋_GB2312" w:hAnsi="仿宋_GB2312" w:eastAsia="仿宋_GB2312" w:cs="仿宋_GB2312"/>
          <w:szCs w:val="24"/>
        </w:rPr>
        <w:t xml:space="preserve"> 各子项技术评分的总和</w:t>
      </w:r>
    </w:p>
    <w:p>
      <w:pPr>
        <w:tabs>
          <w:tab w:val="left" w:pos="540"/>
        </w:tabs>
        <w:spacing w:line="500" w:lineRule="exact"/>
        <w:ind w:left="510"/>
        <w:rPr>
          <w:rFonts w:hint="eastAsia" w:ascii="仿宋_GB2312" w:hAnsi="仿宋_GB2312" w:eastAsia="仿宋_GB2312" w:cs="仿宋_GB2312"/>
          <w:szCs w:val="24"/>
        </w:rPr>
      </w:pPr>
      <w:r>
        <w:rPr>
          <w:rFonts w:hint="eastAsia" w:ascii="仿宋_GB2312" w:hAnsi="仿宋_GB2312" w:eastAsia="仿宋_GB2312" w:cs="仿宋_GB2312"/>
          <w:szCs w:val="24"/>
          <w:lang w:val="en-GB"/>
        </w:rPr>
        <w:t>商务部分得</w:t>
      </w:r>
      <w:r>
        <w:rPr>
          <w:rFonts w:hint="eastAsia" w:ascii="仿宋_GB2312" w:hAnsi="仿宋_GB2312" w:eastAsia="仿宋_GB2312" w:cs="仿宋_GB2312"/>
          <w:szCs w:val="24"/>
          <w:lang w:val="en-GB"/>
        </w:rPr>
        <w:t>分</w:t>
      </w:r>
      <w:r>
        <w:rPr>
          <w:rFonts w:hint="eastAsia" w:ascii="仿宋_GB2312" w:hAnsi="仿宋_GB2312" w:eastAsia="仿宋_GB2312" w:cs="仿宋_GB2312"/>
          <w:szCs w:val="24"/>
          <w:lang w:val="en-GB"/>
        </w:rPr>
        <w:t xml:space="preserve"> </w:t>
      </w:r>
      <w:r>
        <w:rPr>
          <w:rFonts w:hint="eastAsia" w:ascii="仿宋_GB2312" w:hAnsi="仿宋_GB2312" w:eastAsia="仿宋_GB2312" w:cs="仿宋_GB2312"/>
          <w:szCs w:val="24"/>
          <w:lang w:val="en-GB"/>
        </w:rPr>
        <w:t>＝</w:t>
      </w:r>
      <w:r>
        <w:rPr>
          <w:rFonts w:hint="eastAsia" w:ascii="仿宋_GB2312" w:hAnsi="仿宋_GB2312" w:eastAsia="仿宋_GB2312" w:cs="仿宋_GB2312"/>
          <w:szCs w:val="24"/>
        </w:rPr>
        <w:t xml:space="preserve"> 各子项</w:t>
      </w:r>
      <w:r>
        <w:rPr>
          <w:rFonts w:hint="eastAsia" w:ascii="仿宋_GB2312" w:hAnsi="仿宋_GB2312" w:eastAsia="仿宋_GB2312" w:cs="仿宋_GB2312"/>
          <w:szCs w:val="24"/>
          <w:lang w:val="en-GB"/>
        </w:rPr>
        <w:t>商务</w:t>
      </w:r>
      <w:r>
        <w:rPr>
          <w:rFonts w:hint="eastAsia" w:ascii="仿宋_GB2312" w:hAnsi="仿宋_GB2312" w:eastAsia="仿宋_GB2312" w:cs="仿宋_GB2312"/>
          <w:szCs w:val="24"/>
        </w:rPr>
        <w:t>评分的总和</w:t>
      </w:r>
    </w:p>
    <w:p>
      <w:pPr>
        <w:tabs>
          <w:tab w:val="left" w:pos="540"/>
        </w:tabs>
        <w:spacing w:line="500" w:lineRule="exact"/>
        <w:ind w:left="510"/>
        <w:rPr>
          <w:rFonts w:hint="eastAsia" w:ascii="仿宋_GB2312" w:hAnsi="仿宋_GB2312" w:eastAsia="仿宋_GB2312" w:cs="仿宋_GB2312"/>
          <w:szCs w:val="24"/>
          <w:lang w:val="en-GB"/>
        </w:rPr>
      </w:pPr>
      <w:r>
        <w:rPr>
          <w:rFonts w:hint="eastAsia" w:ascii="仿宋_GB2312" w:hAnsi="仿宋_GB2312" w:eastAsia="仿宋_GB2312" w:cs="仿宋_GB2312"/>
          <w:szCs w:val="24"/>
          <w:lang w:val="en-GB"/>
        </w:rPr>
        <w:t>价格</w:t>
      </w:r>
      <w:r>
        <w:rPr>
          <w:rFonts w:hint="eastAsia" w:ascii="仿宋_GB2312" w:hAnsi="仿宋_GB2312" w:eastAsia="仿宋_GB2312" w:cs="仿宋_GB2312"/>
          <w:szCs w:val="24"/>
          <w:lang w:val="en-GB"/>
        </w:rPr>
        <w:t>部分得</w:t>
      </w:r>
      <w:r>
        <w:rPr>
          <w:rFonts w:hint="eastAsia" w:ascii="仿宋_GB2312" w:hAnsi="仿宋_GB2312" w:eastAsia="仿宋_GB2312" w:cs="仿宋_GB2312"/>
          <w:szCs w:val="24"/>
          <w:lang w:val="en-GB"/>
        </w:rPr>
        <w:t>分</w:t>
      </w:r>
      <w:r>
        <w:rPr>
          <w:rFonts w:hint="eastAsia" w:ascii="仿宋_GB2312" w:hAnsi="仿宋_GB2312" w:eastAsia="仿宋_GB2312" w:cs="仿宋_GB2312"/>
          <w:szCs w:val="24"/>
          <w:lang w:val="en-GB"/>
        </w:rPr>
        <w:t xml:space="preserve"> </w:t>
      </w:r>
      <w:r>
        <w:rPr>
          <w:rFonts w:hint="eastAsia" w:ascii="仿宋_GB2312" w:hAnsi="仿宋_GB2312" w:eastAsia="仿宋_GB2312" w:cs="仿宋_GB2312"/>
          <w:szCs w:val="24"/>
          <w:lang w:val="en-GB"/>
        </w:rPr>
        <w:t>＝ 统一公式计算得分</w:t>
      </w:r>
    </w:p>
    <w:p>
      <w:pPr>
        <w:tabs>
          <w:tab w:val="left" w:pos="540"/>
        </w:tabs>
        <w:spacing w:line="500" w:lineRule="exact"/>
        <w:ind w:left="510"/>
        <w:rPr>
          <w:rFonts w:hint="eastAsia" w:ascii="仿宋_GB2312" w:hAnsi="仿宋_GB2312" w:eastAsia="仿宋_GB2312" w:cs="仿宋_GB2312"/>
          <w:szCs w:val="24"/>
          <w:lang w:val="en-GB"/>
        </w:rPr>
      </w:pPr>
      <w:r>
        <w:rPr>
          <w:rFonts w:hint="eastAsia" w:ascii="仿宋_GB2312" w:hAnsi="仿宋_GB2312" w:eastAsia="仿宋_GB2312" w:cs="仿宋_GB2312"/>
          <w:szCs w:val="24"/>
          <w:lang w:val="en-GB"/>
        </w:rPr>
        <w:t xml:space="preserve">评标总得分 </w:t>
      </w:r>
      <w:r>
        <w:rPr>
          <w:rFonts w:hint="eastAsia" w:ascii="仿宋_GB2312" w:hAnsi="仿宋_GB2312" w:eastAsia="仿宋_GB2312" w:cs="仿宋_GB2312"/>
          <w:szCs w:val="24"/>
          <w:lang w:val="en-GB"/>
        </w:rPr>
        <w:t>＝</w:t>
      </w:r>
      <w:r>
        <w:rPr>
          <w:rFonts w:hint="eastAsia" w:ascii="仿宋_GB2312" w:hAnsi="仿宋_GB2312" w:eastAsia="仿宋_GB2312" w:cs="仿宋_GB2312"/>
          <w:szCs w:val="24"/>
          <w:lang w:val="en-GB"/>
        </w:rPr>
        <w:t>技术</w:t>
      </w:r>
      <w:r>
        <w:rPr>
          <w:rFonts w:hint="eastAsia" w:ascii="仿宋_GB2312" w:hAnsi="仿宋_GB2312" w:eastAsia="仿宋_GB2312" w:cs="仿宋_GB2312"/>
        </w:rPr>
        <w:t>得分+</w:t>
      </w:r>
      <w:r>
        <w:rPr>
          <w:rFonts w:hint="eastAsia" w:ascii="仿宋_GB2312" w:hAnsi="仿宋_GB2312" w:eastAsia="仿宋_GB2312" w:cs="仿宋_GB2312"/>
          <w:szCs w:val="24"/>
          <w:lang w:val="en-GB"/>
        </w:rPr>
        <w:t>商务</w:t>
      </w:r>
      <w:r>
        <w:rPr>
          <w:rFonts w:hint="eastAsia" w:ascii="仿宋_GB2312" w:hAnsi="仿宋_GB2312" w:eastAsia="仿宋_GB2312" w:cs="仿宋_GB2312"/>
        </w:rPr>
        <w:t>得分+价格得分</w:t>
      </w:r>
    </w:p>
    <w:p>
      <w:pPr>
        <w:tabs>
          <w:tab w:val="left" w:pos="540"/>
        </w:tabs>
        <w:spacing w:line="500" w:lineRule="exact"/>
        <w:ind w:left="510"/>
        <w:rPr>
          <w:rFonts w:hint="eastAsia" w:ascii="仿宋_GB2312" w:hAnsi="仿宋_GB2312" w:eastAsia="仿宋_GB2312" w:cs="仿宋_GB2312"/>
          <w:szCs w:val="24"/>
        </w:rPr>
      </w:pPr>
      <w:r>
        <w:rPr>
          <w:rFonts w:hint="eastAsia" w:ascii="仿宋_GB2312" w:hAnsi="仿宋_GB2312" w:eastAsia="仿宋_GB2312" w:cs="仿宋_GB2312"/>
          <w:szCs w:val="24"/>
        </w:rPr>
        <w:t>技术得分满分为</w:t>
      </w:r>
      <w:r>
        <w:rPr>
          <w:rFonts w:hint="eastAsia" w:ascii="仿宋_GB2312" w:hAnsi="仿宋_GB2312" w:eastAsia="仿宋_GB2312" w:cs="仿宋_GB2312"/>
          <w:szCs w:val="24"/>
          <w:lang w:val="en-US" w:eastAsia="zh-CN"/>
        </w:rPr>
        <w:t>4</w:t>
      </w:r>
      <w:r>
        <w:rPr>
          <w:rFonts w:hint="eastAsia" w:ascii="仿宋_GB2312" w:hAnsi="仿宋_GB2312" w:eastAsia="仿宋_GB2312" w:cs="仿宋_GB2312"/>
          <w:szCs w:val="24"/>
        </w:rPr>
        <w:t>0分，</w:t>
      </w:r>
      <w:r>
        <w:rPr>
          <w:rFonts w:hint="eastAsia" w:ascii="仿宋_GB2312" w:hAnsi="仿宋_GB2312" w:eastAsia="仿宋_GB2312" w:cs="仿宋_GB2312"/>
          <w:szCs w:val="24"/>
          <w:lang w:val="en-GB"/>
        </w:rPr>
        <w:t>商务</w:t>
      </w:r>
      <w:r>
        <w:rPr>
          <w:rFonts w:hint="eastAsia" w:ascii="仿宋_GB2312" w:hAnsi="仿宋_GB2312" w:eastAsia="仿宋_GB2312" w:cs="仿宋_GB2312"/>
          <w:szCs w:val="24"/>
        </w:rPr>
        <w:t>得分满分为</w:t>
      </w:r>
      <w:r>
        <w:rPr>
          <w:rFonts w:hint="eastAsia" w:ascii="仿宋_GB2312" w:hAnsi="仿宋_GB2312" w:eastAsia="仿宋_GB2312" w:cs="仿宋_GB2312"/>
          <w:szCs w:val="24"/>
          <w:lang w:val="en-US" w:eastAsia="zh-CN"/>
        </w:rPr>
        <w:t>30</w:t>
      </w:r>
      <w:r>
        <w:rPr>
          <w:rFonts w:hint="eastAsia" w:ascii="仿宋_GB2312" w:hAnsi="仿宋_GB2312" w:eastAsia="仿宋_GB2312" w:cs="仿宋_GB2312"/>
          <w:szCs w:val="24"/>
        </w:rPr>
        <w:t>分，价格得分满分为</w:t>
      </w:r>
      <w:r>
        <w:rPr>
          <w:rFonts w:hint="eastAsia" w:ascii="仿宋_GB2312" w:hAnsi="仿宋_GB2312" w:eastAsia="仿宋_GB2312" w:cs="仿宋_GB2312"/>
          <w:szCs w:val="24"/>
          <w:lang w:val="en-US" w:eastAsia="zh-CN"/>
        </w:rPr>
        <w:t>30</w:t>
      </w:r>
      <w:r>
        <w:rPr>
          <w:rFonts w:hint="eastAsia" w:ascii="仿宋_GB2312" w:hAnsi="仿宋_GB2312" w:eastAsia="仿宋_GB2312" w:cs="仿宋_GB2312"/>
          <w:szCs w:val="24"/>
        </w:rPr>
        <w:t>分。</w:t>
      </w:r>
    </w:p>
    <w:p>
      <w:pPr>
        <w:tabs>
          <w:tab w:val="left" w:pos="540"/>
        </w:tabs>
        <w:spacing w:line="500" w:lineRule="exact"/>
        <w:ind w:left="510"/>
        <w:rPr>
          <w:rFonts w:hint="eastAsia" w:ascii="仿宋_GB2312" w:hAnsi="仿宋_GB2312" w:eastAsia="仿宋_GB2312" w:cs="仿宋_GB2312"/>
          <w:spacing w:val="-2"/>
          <w:szCs w:val="24"/>
          <w:lang w:val="en-GB"/>
        </w:rPr>
      </w:pPr>
      <w:r>
        <w:rPr>
          <w:rFonts w:hint="eastAsia" w:ascii="仿宋_GB2312" w:hAnsi="仿宋_GB2312" w:eastAsia="仿宋_GB2312" w:cs="仿宋_GB2312"/>
          <w:spacing w:val="-2"/>
          <w:szCs w:val="24"/>
          <w:lang w:val="en-GB"/>
        </w:rPr>
        <w:t>（汇总计算时将按四舍五入的原则精确至小数点后两位）</w:t>
      </w:r>
    </w:p>
    <w:p>
      <w:pPr>
        <w:rPr>
          <w:rFonts w:hint="eastAsia" w:ascii="仿宋_GB2312" w:hAnsi="仿宋_GB2312" w:eastAsia="仿宋_GB2312" w:cs="仿宋_GB2312"/>
        </w:rPr>
      </w:pPr>
      <w:bookmarkStart w:id="0" w:name="_GoBack"/>
      <w:bookmarkEnd w:id="0"/>
    </w:p>
    <w:sectPr>
      <w:footerReference r:id="rId3" w:type="default"/>
      <w:pgSz w:w="11906" w:h="16838"/>
      <w:pgMar w:top="1327" w:right="1800" w:bottom="1327"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Helvetica Neue">
    <w:altName w:val="NumberOnly"/>
    <w:panose1 w:val="02000503000000020004"/>
    <w:charset w:val="00"/>
    <w:family w:val="auto"/>
    <w:pitch w:val="default"/>
    <w:sig w:usb0="00000000" w:usb1="00000000" w:usb2="0000001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NumberOnly">
    <w:panose1 w:val="020B0500000000000000"/>
    <w:charset w:val="00"/>
    <w:family w:val="auto"/>
    <w:pitch w:val="default"/>
    <w:sig w:usb0="8000002F" w:usb1="10000048" w:usb2="00000000" w:usb3="00000000" w:csb0="00000111" w:csb1="4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hpgkvTAAAABQEAAA8AAAAAAAAAAQAgAAAAIgAAAGRycy9kb3ducmV2LnhtbFBLAQIU&#10;ABQAAAAIAIdO4kB4JzhdvwEAAGUDAAAOAAAAAAAAAAEAIAAAACIBAABkcnMvZTJvRG9jLnhtbFBL&#10;BQYAAAAABgAGAFkBAABTBQ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rPr>
                              <w:rFonts w:hint="eastAsia"/>
                              <w:lang w:eastAsia="zh-CN"/>
                            </w:rPr>
                          </w:pPr>
                        </w:p>
                      </w:txbxContent>
                    </wps:txbx>
                    <wps:bodyPr wrap="none" lIns="0" tIns="0" rIns="0" bIns="0" upright="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LzU33b0BAABlAwAADgAAAAAAAAABACAAAAAiAQAAZHJzL2Uyb0RvYy54bWxQSwUG&#10;AAAAAAYABgBZAQAAUQUAAAAA&#10;">
              <v:fill on="f" focussize="0,0"/>
              <v:stroke on="f" weight="1.2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F00355"/>
    <w:multiLevelType w:val="singleLevel"/>
    <w:tmpl w:val="E1F00355"/>
    <w:lvl w:ilvl="0" w:tentative="0">
      <w:start w:val="1"/>
      <w:numFmt w:val="decimal"/>
      <w:lvlText w:val="%1."/>
      <w:lvlJc w:val="left"/>
      <w:pPr>
        <w:tabs>
          <w:tab w:val="left" w:pos="312"/>
        </w:tabs>
      </w:pPr>
    </w:lvl>
  </w:abstractNum>
  <w:abstractNum w:abstractNumId="1">
    <w:nsid w:val="00000013"/>
    <w:multiLevelType w:val="multilevel"/>
    <w:tmpl w:val="00000013"/>
    <w:lvl w:ilvl="0" w:tentative="0">
      <w:start w:val="1"/>
      <w:numFmt w:val="decimal"/>
      <w:lvlText w:val="5.%1."/>
      <w:lvlJc w:val="left"/>
      <w:pPr>
        <w:tabs>
          <w:tab w:val="left" w:pos="510"/>
        </w:tabs>
        <w:ind w:left="510" w:hanging="510"/>
      </w:pPr>
      <w:rPr>
        <w:rFonts w:hint="default"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D8A3E05"/>
    <w:multiLevelType w:val="multilevel"/>
    <w:tmpl w:val="2D8A3E05"/>
    <w:lvl w:ilvl="0" w:tentative="0">
      <w:start w:val="1"/>
      <w:numFmt w:val="decimal"/>
      <w:lvlText w:val="%1．"/>
      <w:lvlJc w:val="left"/>
      <w:rPr>
        <w:rFonts w:hint="default" w:cs="Times New Roman"/>
        <w:spacing w:val="-20"/>
        <w:kern w:val="2"/>
        <w:position w:val="0"/>
      </w:rPr>
    </w:lvl>
    <w:lvl w:ilvl="1" w:tentative="0">
      <w:start w:val="2"/>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3">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84366"/>
    <w:rsid w:val="08DD4E95"/>
    <w:rsid w:val="0BB5604B"/>
    <w:rsid w:val="0D984366"/>
    <w:rsid w:val="350125F4"/>
    <w:rsid w:val="7D4E50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numPr>
        <w:ilvl w:val="0"/>
        <w:numId w:val="1"/>
      </w:numPr>
      <w:tabs>
        <w:tab w:val="clear" w:pos="839"/>
      </w:tabs>
      <w:spacing w:after="120"/>
      <w:ind w:left="0" w:firstLine="0"/>
    </w:pPr>
  </w:style>
  <w:style w:type="paragraph" w:styleId="3">
    <w:name w:val="Body Text First Indent"/>
    <w:basedOn w:val="2"/>
    <w:qFormat/>
    <w:uiPriority w:val="0"/>
    <w:pPr>
      <w:tabs>
        <w:tab w:val="left" w:pos="839"/>
      </w:tabs>
      <w:ind w:firstLine="420" w:firstLineChars="100"/>
    </w:pPr>
  </w:style>
  <w:style w:type="paragraph" w:styleId="4">
    <w:name w:val="annotation text"/>
    <w:basedOn w:val="1"/>
    <w:qFormat/>
    <w:uiPriority w:val="0"/>
    <w:pPr>
      <w:jc w:val="left"/>
    </w:pPr>
  </w:style>
  <w:style w:type="paragraph" w:styleId="5">
    <w:name w:val="Plain Text"/>
    <w:basedOn w:val="1"/>
    <w:next w:val="6"/>
    <w:qFormat/>
    <w:uiPriority w:val="0"/>
    <w:rPr>
      <w:rFonts w:ascii="宋体" w:hAnsi="Courier New" w:cs="Courier New"/>
      <w:szCs w:val="21"/>
    </w:rPr>
  </w:style>
  <w:style w:type="paragraph" w:customStyle="1" w:styleId="6">
    <w:name w:val="Default"/>
    <w:unhideWhenUsed/>
    <w:qFormat/>
    <w:uiPriority w:val="0"/>
    <w:pPr>
      <w:widowControl w:val="0"/>
      <w:autoSpaceDE w:val="0"/>
      <w:autoSpaceDN w:val="0"/>
      <w:adjustRightInd w:val="0"/>
      <w:spacing w:beforeLines="0" w:afterLines="0"/>
    </w:pPr>
    <w:rPr>
      <w:rFonts w:hint="eastAsia" w:ascii="Times New Roman" w:hAnsi="Times New Roman" w:eastAsia="Times New Roman" w:cs="Times New Roman"/>
      <w:color w:val="000000"/>
      <w:sz w:val="24"/>
      <w:szCs w:val="22"/>
      <w:lang w:val="en-US" w:eastAsia="zh-CN"/>
    </w:rPr>
  </w:style>
  <w:style w:type="paragraph" w:styleId="7">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2026-05-29T06:51:00Z</dcterms:created>
  <dc:creator>Administrator</dc:creator>
  <cp:lastModifiedBy>Administrator</cp:lastModifiedBy>
  <dcterms:modified xsi:type="dcterms:W3CDTF">2026-06-18T09:13:07Z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