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60" w:lineRule="exact"/>
        <w:ind w:leftChars="0"/>
        <w:rPr>
          <w:rFonts w:hint="eastAsia" w:ascii="宋体" w:hAnsi="宋体"/>
          <w:b/>
          <w:szCs w:val="24"/>
          <w:highlight w:val="none"/>
          <w:lang w:val="en-US" w:eastAsia="zh-CN"/>
        </w:rPr>
      </w:pPr>
      <w:r>
        <w:rPr>
          <w:rFonts w:hint="eastAsia" w:ascii="宋体" w:hAnsi="宋体"/>
          <w:b/>
          <w:szCs w:val="24"/>
          <w:highlight w:val="none"/>
          <w:lang w:val="en-US" w:eastAsia="zh-CN"/>
        </w:rPr>
        <w:t>附件：</w:t>
      </w:r>
    </w:p>
    <w:p>
      <w:pPr>
        <w:numPr>
          <w:ilvl w:val="0"/>
          <w:numId w:val="0"/>
        </w:numPr>
        <w:spacing w:line="460" w:lineRule="exact"/>
        <w:ind w:leftChars="0"/>
        <w:jc w:val="center"/>
        <w:rPr>
          <w:rFonts w:hint="eastAsia" w:ascii="宋体" w:hAnsi="宋体" w:eastAsia="宋体"/>
          <w:b/>
          <w:sz w:val="32"/>
          <w:szCs w:val="32"/>
          <w:highlight w:val="none"/>
          <w:lang w:val="en-US" w:eastAsia="zh-CN"/>
        </w:rPr>
      </w:pPr>
      <w:r>
        <w:rPr>
          <w:rFonts w:hint="eastAsia" w:ascii="宋体" w:hAnsi="宋体"/>
          <w:b/>
          <w:sz w:val="32"/>
          <w:szCs w:val="32"/>
          <w:highlight w:val="none"/>
          <w:lang w:val="en-US" w:eastAsia="zh-CN"/>
        </w:rPr>
        <w:t>评分标准</w:t>
      </w:r>
    </w:p>
    <w:tbl>
      <w:tblPr>
        <w:tblStyle w:val="6"/>
        <w:tblpPr w:leftFromText="180" w:rightFromText="180" w:vertAnchor="text" w:horzAnchor="page" w:tblpX="1275" w:tblpY="455"/>
        <w:tblOverlap w:val="never"/>
        <w:tblW w:w="9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377"/>
        <w:gridCol w:w="2378"/>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宋体" w:hAnsi="宋体"/>
                <w:sz w:val="21"/>
                <w:szCs w:val="21"/>
              </w:rPr>
            </w:pPr>
            <w:r>
              <w:rPr>
                <w:rFonts w:hint="eastAsia" w:ascii="宋体" w:hAnsi="宋体"/>
                <w:sz w:val="21"/>
                <w:szCs w:val="21"/>
              </w:rPr>
              <w:t>评分项目</w:t>
            </w:r>
          </w:p>
        </w:tc>
        <w:tc>
          <w:tcPr>
            <w:tcW w:w="2377" w:type="dxa"/>
            <w:vAlign w:val="center"/>
          </w:tcPr>
          <w:p>
            <w:pPr>
              <w:jc w:val="center"/>
              <w:rPr>
                <w:rFonts w:hint="eastAsia" w:ascii="宋体" w:hAnsi="宋体"/>
                <w:sz w:val="21"/>
                <w:szCs w:val="21"/>
              </w:rPr>
            </w:pPr>
            <w:r>
              <w:rPr>
                <w:rFonts w:hint="eastAsia" w:ascii="宋体" w:hAnsi="宋体"/>
                <w:szCs w:val="24"/>
                <w:lang w:val="en-US" w:eastAsia="zh-CN"/>
              </w:rPr>
              <w:t>技术</w:t>
            </w:r>
            <w:r>
              <w:rPr>
                <w:rFonts w:hint="eastAsia" w:ascii="宋体" w:hAnsi="宋体"/>
                <w:sz w:val="21"/>
                <w:szCs w:val="21"/>
              </w:rPr>
              <w:t>部分</w:t>
            </w:r>
          </w:p>
        </w:tc>
        <w:tc>
          <w:tcPr>
            <w:tcW w:w="2378" w:type="dxa"/>
            <w:vAlign w:val="center"/>
          </w:tcPr>
          <w:p>
            <w:pPr>
              <w:jc w:val="center"/>
              <w:rPr>
                <w:rFonts w:hint="eastAsia" w:ascii="宋体" w:hAnsi="宋体"/>
                <w:sz w:val="21"/>
                <w:szCs w:val="21"/>
              </w:rPr>
            </w:pPr>
            <w:r>
              <w:rPr>
                <w:rFonts w:hint="eastAsia" w:ascii="宋体" w:hAnsi="宋体"/>
                <w:sz w:val="21"/>
                <w:szCs w:val="21"/>
              </w:rPr>
              <w:t>商务部分</w:t>
            </w:r>
          </w:p>
        </w:tc>
        <w:tc>
          <w:tcPr>
            <w:tcW w:w="2276" w:type="dxa"/>
            <w:vAlign w:val="center"/>
          </w:tcPr>
          <w:p>
            <w:pPr>
              <w:jc w:val="center"/>
              <w:rPr>
                <w:rFonts w:hint="eastAsia" w:ascii="宋体" w:hAnsi="宋体"/>
                <w:sz w:val="21"/>
                <w:szCs w:val="21"/>
              </w:rPr>
            </w:pPr>
            <w:r>
              <w:rPr>
                <w:rFonts w:hint="eastAsia" w:ascii="宋体" w:hAnsi="宋体"/>
                <w:sz w:val="21"/>
                <w:szCs w:val="21"/>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宋体" w:hAnsi="宋体"/>
                <w:sz w:val="21"/>
                <w:szCs w:val="21"/>
              </w:rPr>
            </w:pPr>
            <w:r>
              <w:rPr>
                <w:rFonts w:hint="eastAsia" w:ascii="宋体" w:hAnsi="宋体"/>
                <w:sz w:val="21"/>
                <w:szCs w:val="21"/>
              </w:rPr>
              <w:t>权重</w:t>
            </w:r>
          </w:p>
        </w:tc>
        <w:tc>
          <w:tcPr>
            <w:tcW w:w="2377" w:type="dxa"/>
            <w:vAlign w:val="center"/>
          </w:tcPr>
          <w:p>
            <w:pPr>
              <w:pStyle w:val="3"/>
              <w:jc w:val="center"/>
            </w:pPr>
            <w:r>
              <w:rPr>
                <w:rFonts w:hint="eastAsia"/>
                <w:lang w:val="en-US" w:eastAsia="zh-CN"/>
              </w:rPr>
              <w:t>40</w:t>
            </w:r>
            <w:r>
              <w:rPr>
                <w:rFonts w:hint="eastAsia"/>
              </w:rPr>
              <w:t>%</w:t>
            </w:r>
          </w:p>
        </w:tc>
        <w:tc>
          <w:tcPr>
            <w:tcW w:w="2378" w:type="dxa"/>
            <w:vAlign w:val="center"/>
          </w:tcPr>
          <w:p>
            <w:pPr>
              <w:pStyle w:val="3"/>
              <w:jc w:val="center"/>
            </w:pPr>
            <w:r>
              <w:rPr>
                <w:rFonts w:hint="eastAsia"/>
                <w:lang w:val="en-US" w:eastAsia="zh-CN"/>
              </w:rPr>
              <w:t>30</w:t>
            </w:r>
            <w:r>
              <w:rPr>
                <w:rFonts w:hint="eastAsia"/>
              </w:rPr>
              <w:t>%</w:t>
            </w:r>
          </w:p>
        </w:tc>
        <w:tc>
          <w:tcPr>
            <w:tcW w:w="2276" w:type="dxa"/>
            <w:vAlign w:val="center"/>
          </w:tcPr>
          <w:p>
            <w:pPr>
              <w:jc w:val="center"/>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宋体" w:hAnsi="宋体"/>
                <w:sz w:val="21"/>
                <w:szCs w:val="21"/>
              </w:rPr>
            </w:pPr>
            <w:r>
              <w:rPr>
                <w:rFonts w:hint="eastAsia" w:ascii="宋体" w:hAnsi="宋体"/>
                <w:sz w:val="21"/>
                <w:szCs w:val="21"/>
              </w:rPr>
              <w:t>分值</w:t>
            </w:r>
          </w:p>
        </w:tc>
        <w:tc>
          <w:tcPr>
            <w:tcW w:w="2377" w:type="dxa"/>
            <w:vAlign w:val="center"/>
          </w:tcPr>
          <w:p>
            <w:pPr>
              <w:pStyle w:val="3"/>
              <w:jc w:val="center"/>
            </w:pPr>
            <w:r>
              <w:rPr>
                <w:rFonts w:hint="eastAsia"/>
                <w:lang w:val="en-US" w:eastAsia="zh-CN"/>
              </w:rPr>
              <w:t>40</w:t>
            </w:r>
            <w:r>
              <w:rPr>
                <w:rFonts w:hint="eastAsia"/>
              </w:rPr>
              <w:t>分</w:t>
            </w:r>
          </w:p>
        </w:tc>
        <w:tc>
          <w:tcPr>
            <w:tcW w:w="2378" w:type="dxa"/>
            <w:vAlign w:val="center"/>
          </w:tcPr>
          <w:p>
            <w:pPr>
              <w:pStyle w:val="3"/>
              <w:jc w:val="center"/>
            </w:pPr>
            <w:r>
              <w:rPr>
                <w:rFonts w:hint="eastAsia"/>
                <w:lang w:val="en-US" w:eastAsia="zh-CN"/>
              </w:rPr>
              <w:t>30</w:t>
            </w:r>
            <w:r>
              <w:rPr>
                <w:rFonts w:hint="eastAsia"/>
              </w:rPr>
              <w:t>分</w:t>
            </w:r>
          </w:p>
        </w:tc>
        <w:tc>
          <w:tcPr>
            <w:tcW w:w="2276" w:type="dxa"/>
            <w:vAlign w:val="center"/>
          </w:tcPr>
          <w:p>
            <w:pPr>
              <w:jc w:val="center"/>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0分</w:t>
            </w:r>
          </w:p>
        </w:tc>
      </w:tr>
    </w:tbl>
    <w:p>
      <w:pPr>
        <w:numPr>
          <w:ilvl w:val="0"/>
          <w:numId w:val="2"/>
        </w:numPr>
        <w:tabs>
          <w:tab w:val="left" w:pos="510"/>
          <w:tab w:val="left" w:pos="540"/>
        </w:tabs>
        <w:snapToGrid w:val="0"/>
        <w:spacing w:line="460" w:lineRule="exact"/>
        <w:rPr>
          <w:rFonts w:hint="eastAsia" w:ascii="宋体" w:hAnsi="宋体"/>
          <w:szCs w:val="24"/>
          <w:lang w:val="en-GB"/>
        </w:rPr>
      </w:pPr>
      <w:r>
        <w:rPr>
          <w:rFonts w:hint="eastAsia" w:ascii="宋体" w:hAnsi="宋体"/>
          <w:szCs w:val="24"/>
          <w:lang w:val="en-GB"/>
        </w:rPr>
        <w:t xml:space="preserve">权重分配（权重 100%） </w:t>
      </w:r>
    </w:p>
    <w:p>
      <w:pPr>
        <w:numPr>
          <w:ilvl w:val="0"/>
          <w:numId w:val="2"/>
        </w:numPr>
        <w:tabs>
          <w:tab w:val="left" w:pos="510"/>
          <w:tab w:val="left" w:pos="540"/>
        </w:tabs>
        <w:snapToGrid w:val="0"/>
        <w:spacing w:line="500" w:lineRule="exact"/>
        <w:rPr>
          <w:rFonts w:hint="eastAsia" w:ascii="宋体" w:hAnsi="宋体"/>
          <w:szCs w:val="24"/>
          <w:lang w:val="en-GB"/>
        </w:rPr>
      </w:pPr>
      <w:r>
        <w:rPr>
          <w:rFonts w:hint="eastAsia" w:ascii="宋体" w:hAnsi="宋体"/>
          <w:szCs w:val="24"/>
          <w:lang w:val="en-US" w:eastAsia="zh-CN"/>
        </w:rPr>
        <w:t>技术</w:t>
      </w:r>
      <w:r>
        <w:rPr>
          <w:rFonts w:hint="eastAsia" w:ascii="宋体" w:hAnsi="宋体"/>
          <w:szCs w:val="24"/>
          <w:lang w:val="en-GB"/>
        </w:rPr>
        <w:t>部分评审标准（权重</w:t>
      </w:r>
      <w:r>
        <w:rPr>
          <w:rFonts w:hint="eastAsia" w:ascii="宋体" w:hAnsi="宋体"/>
          <w:szCs w:val="24"/>
          <w:lang w:val="en-US" w:eastAsia="zh-CN"/>
        </w:rPr>
        <w:t>4</w:t>
      </w:r>
      <w:r>
        <w:rPr>
          <w:rFonts w:hint="eastAsia" w:ascii="宋体" w:hAnsi="宋体"/>
          <w:szCs w:val="24"/>
        </w:rPr>
        <w:t>0</w:t>
      </w:r>
      <w:r>
        <w:rPr>
          <w:rFonts w:hint="eastAsia" w:ascii="宋体" w:hAnsi="宋体"/>
          <w:szCs w:val="24"/>
          <w:lang w:val="en-GB"/>
        </w:rPr>
        <w:t>%)</w:t>
      </w:r>
    </w:p>
    <w:tbl>
      <w:tblPr>
        <w:tblStyle w:val="6"/>
        <w:tblW w:w="95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601"/>
        <w:gridCol w:w="687"/>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tblHeader/>
          <w:jc w:val="center"/>
        </w:trPr>
        <w:tc>
          <w:tcPr>
            <w:tcW w:w="2860" w:type="dxa"/>
            <w:gridSpan w:val="3"/>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rPr>
              <w:t>评审分项</w:t>
            </w:r>
          </w:p>
        </w:tc>
        <w:tc>
          <w:tcPr>
            <w:tcW w:w="6713" w:type="dxa"/>
            <w:vMerge w:val="restart"/>
            <w:vAlign w:val="center"/>
          </w:tcPr>
          <w:p>
            <w:pPr>
              <w:jc w:val="center"/>
              <w:rPr>
                <w:rFonts w:ascii="宋体" w:hAnsi="宋体"/>
                <w:bCs/>
                <w:sz w:val="21"/>
                <w:szCs w:val="21"/>
              </w:rPr>
            </w:pPr>
            <w:r>
              <w:rPr>
                <w:rFonts w:hint="eastAsia" w:ascii="宋体" w:hAnsi="宋体"/>
                <w:bCs/>
                <w:sz w:val="21"/>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tblHeader/>
          <w:jc w:val="center"/>
        </w:trPr>
        <w:tc>
          <w:tcPr>
            <w:tcW w:w="572" w:type="dxa"/>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rPr>
              <w:t>序号</w:t>
            </w:r>
          </w:p>
        </w:tc>
        <w:tc>
          <w:tcPr>
            <w:tcW w:w="1601" w:type="dxa"/>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rPr>
              <w:t>内容</w:t>
            </w:r>
          </w:p>
        </w:tc>
        <w:tc>
          <w:tcPr>
            <w:tcW w:w="687" w:type="dxa"/>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rPr>
              <w:t>分值</w:t>
            </w:r>
          </w:p>
        </w:tc>
        <w:tc>
          <w:tcPr>
            <w:tcW w:w="6713" w:type="dxa"/>
            <w:vMerge w:val="continue"/>
            <w:tcMar>
              <w:top w:w="16" w:type="dxa"/>
              <w:left w:w="16" w:type="dxa"/>
              <w:bottom w:w="0" w:type="dxa"/>
              <w:right w:w="16" w:type="dxa"/>
            </w:tcMar>
            <w:vAlign w:val="center"/>
          </w:tcPr>
          <w:p>
            <w:pPr>
              <w:jc w:val="center"/>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宋体" w:hAnsi="宋体" w:eastAsia="宋体"/>
                <w:bCs/>
                <w:sz w:val="21"/>
                <w:szCs w:val="21"/>
                <w:lang w:val="en-US" w:eastAsia="zh-CN"/>
              </w:rPr>
            </w:pPr>
            <w:r>
              <w:rPr>
                <w:rFonts w:hint="eastAsia" w:ascii="宋体" w:hAnsi="宋体"/>
                <w:bCs/>
                <w:sz w:val="21"/>
                <w:szCs w:val="21"/>
                <w:lang w:val="en-US" w:eastAsia="zh-CN"/>
              </w:rPr>
              <w:t>1</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sz w:val="21"/>
                <w:szCs w:val="21"/>
              </w:rPr>
            </w:pPr>
            <w:r>
              <w:rPr>
                <w:rFonts w:hint="eastAsia" w:ascii="宋体" w:hAnsi="宋体" w:eastAsia="宋体" w:cs="Times New Roman"/>
                <w:bCs w:val="0"/>
                <w:sz w:val="21"/>
                <w:szCs w:val="21"/>
              </w:rPr>
              <w:t>总体实施方案</w:t>
            </w:r>
          </w:p>
        </w:tc>
        <w:tc>
          <w:tcPr>
            <w:tcW w:w="687" w:type="dxa"/>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rPr>
              <w:t>1</w:t>
            </w:r>
            <w:r>
              <w:rPr>
                <w:rFonts w:hint="eastAsia" w:ascii="宋体" w:hAnsi="宋体"/>
                <w:bCs/>
                <w:sz w:val="21"/>
                <w:szCs w:val="21"/>
                <w:lang w:val="en-US" w:eastAsia="zh-CN"/>
              </w:rPr>
              <w:t>2</w:t>
            </w:r>
            <w:r>
              <w:rPr>
                <w:rFonts w:hint="eastAsia" w:ascii="宋体" w:hAnsi="宋体"/>
                <w:bCs/>
                <w:sz w:val="21"/>
                <w:szCs w:val="21"/>
              </w:rPr>
              <w:t>分</w:t>
            </w:r>
          </w:p>
        </w:tc>
        <w:tc>
          <w:tcPr>
            <w:tcW w:w="6713" w:type="dxa"/>
            <w:tcMar>
              <w:top w:w="16" w:type="dxa"/>
              <w:left w:w="16" w:type="dxa"/>
              <w:bottom w:w="0" w:type="dxa"/>
              <w:right w:w="16" w:type="dxa"/>
            </w:tcMar>
            <w:vAlign w:val="center"/>
          </w:tcPr>
          <w:p>
            <w:pPr>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根据</w:t>
            </w:r>
            <w:r>
              <w:rPr>
                <w:rFonts w:hint="eastAsia" w:ascii="宋体" w:hAnsi="宋体" w:eastAsia="宋体" w:cs="Times New Roman"/>
                <w:sz w:val="21"/>
                <w:szCs w:val="21"/>
                <w:lang w:val="en-US" w:eastAsia="zh-CN"/>
              </w:rPr>
              <w:t>响应供应商</w:t>
            </w:r>
            <w:r>
              <w:rPr>
                <w:rFonts w:hint="eastAsia" w:ascii="宋体" w:hAnsi="宋体" w:eastAsia="宋体" w:cs="Times New Roman"/>
                <w:sz w:val="21"/>
                <w:szCs w:val="21"/>
              </w:rPr>
              <w:t>对本项目技术标准与要求中提供的项目总体实施方案，内容包括但不限于对项目需求理解程度、流程步骤、测评方法、测评工具、项目管理制度、</w:t>
            </w:r>
            <w:r>
              <w:rPr>
                <w:rFonts w:hint="eastAsia" w:ascii="宋体" w:hAnsi="宋体" w:eastAsia="宋体" w:cs="Times New Roman"/>
                <w:sz w:val="21"/>
                <w:szCs w:val="21"/>
                <w:lang w:val="en-US" w:eastAsia="zh-CN"/>
              </w:rPr>
              <w:t>人员管理、</w:t>
            </w:r>
            <w:r>
              <w:rPr>
                <w:rFonts w:hint="eastAsia" w:ascii="宋体" w:hAnsi="宋体" w:eastAsia="宋体" w:cs="Times New Roman"/>
                <w:sz w:val="21"/>
                <w:szCs w:val="21"/>
              </w:rPr>
              <w:t xml:space="preserve">风险防范措施等进行评审： </w:t>
            </w:r>
          </w:p>
          <w:p>
            <w:pPr>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1.方案完备、详细清晰、可行性高，完全满足且优于采购需求，得1</w:t>
            </w:r>
            <w:r>
              <w:rPr>
                <w:rFonts w:hint="eastAsia" w:ascii="宋体" w:hAnsi="宋体" w:eastAsia="宋体" w:cs="Times New Roman"/>
                <w:sz w:val="21"/>
                <w:szCs w:val="21"/>
                <w:lang w:val="en-US" w:eastAsia="zh-CN"/>
              </w:rPr>
              <w:t>2分</w:t>
            </w:r>
            <w:r>
              <w:rPr>
                <w:rFonts w:hint="eastAsia" w:ascii="宋体" w:hAnsi="宋体" w:eastAsia="宋体" w:cs="Times New Roman"/>
                <w:sz w:val="21"/>
                <w:szCs w:val="21"/>
              </w:rPr>
              <w:t>；</w:t>
            </w:r>
          </w:p>
          <w:p>
            <w:pPr>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2.方案完整、基本可行，完全满足采购需求，得</w:t>
            </w: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分；</w:t>
            </w:r>
          </w:p>
          <w:p>
            <w:pPr>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3.方案不详细、可行性不高、部分满足采购需求，得</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分；</w:t>
            </w:r>
          </w:p>
          <w:p>
            <w:p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宋体" w:hAnsi="宋体" w:eastAsia="宋体"/>
                <w:bCs/>
                <w:sz w:val="21"/>
                <w:szCs w:val="21"/>
                <w:lang w:val="en-US" w:eastAsia="zh-CN"/>
              </w:rPr>
            </w:pPr>
            <w:r>
              <w:rPr>
                <w:rFonts w:hint="eastAsia" w:ascii="宋体" w:hAnsi="宋体"/>
                <w:bCs/>
                <w:sz w:val="21"/>
                <w:szCs w:val="21"/>
                <w:lang w:val="en-US" w:eastAsia="zh-CN"/>
              </w:rPr>
              <w:t>2</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sz w:val="21"/>
                <w:szCs w:val="21"/>
              </w:rPr>
            </w:pPr>
            <w:r>
              <w:rPr>
                <w:rFonts w:hint="eastAsia" w:ascii="宋体" w:hAnsi="宋体" w:eastAsia="宋体" w:cs="Times New Roman"/>
                <w:bCs w:val="0"/>
                <w:sz w:val="21"/>
                <w:szCs w:val="21"/>
              </w:rPr>
              <w:t xml:space="preserve">报告模板方案 </w:t>
            </w:r>
          </w:p>
        </w:tc>
        <w:tc>
          <w:tcPr>
            <w:tcW w:w="687" w:type="dxa"/>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lang w:val="en-US" w:eastAsia="zh-CN"/>
              </w:rPr>
              <w:t>10分</w:t>
            </w:r>
          </w:p>
        </w:tc>
        <w:tc>
          <w:tcPr>
            <w:tcW w:w="6713" w:type="dxa"/>
            <w:tcMar>
              <w:top w:w="16" w:type="dxa"/>
              <w:left w:w="16" w:type="dxa"/>
              <w:bottom w:w="0" w:type="dxa"/>
              <w:right w:w="16" w:type="dxa"/>
            </w:tcMar>
            <w:vAlign w:val="center"/>
          </w:tcPr>
          <w:p>
            <w:p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根据</w:t>
            </w:r>
            <w:r>
              <w:rPr>
                <w:rFonts w:hint="eastAsia" w:ascii="宋体" w:hAnsi="宋体" w:eastAsia="宋体" w:cs="Times New Roman"/>
                <w:sz w:val="21"/>
                <w:szCs w:val="21"/>
                <w:lang w:val="en-US" w:eastAsia="zh-CN"/>
              </w:rPr>
              <w:t>响应供应商</w:t>
            </w:r>
            <w:r>
              <w:rPr>
                <w:rFonts w:hint="eastAsia" w:ascii="宋体" w:hAnsi="宋体" w:eastAsia="宋体" w:cs="Times New Roman"/>
                <w:kern w:val="2"/>
                <w:sz w:val="21"/>
                <w:szCs w:val="21"/>
                <w:lang w:val="en-US" w:eastAsia="zh-CN" w:bidi="ar-SA"/>
              </w:rPr>
              <w:t xml:space="preserve">对本项目技术标准与要求中所提供的报告模板方案，包括但不限于测评方法、测评实施过程、测评整改建议、测评报告等测评过程文档模板内容的完整性、可操作性进行评审： </w:t>
            </w:r>
          </w:p>
          <w:p>
            <w:pPr>
              <w:numPr>
                <w:ilvl w:val="0"/>
                <w:numId w:val="3"/>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方案完整、可操作性高，完全满足或优于采购需求的，得10分； </w:t>
            </w:r>
          </w:p>
          <w:p>
            <w:pPr>
              <w:numPr>
                <w:ilvl w:val="0"/>
                <w:numId w:val="3"/>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方案较完整、可操作性较高，完全满足采购需求的，得7分； </w:t>
            </w:r>
          </w:p>
          <w:p>
            <w:pPr>
              <w:numPr>
                <w:ilvl w:val="0"/>
                <w:numId w:val="0"/>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3.方案简单，可操作性一般，</w:t>
            </w:r>
            <w:r>
              <w:rPr>
                <w:rFonts w:hint="eastAsia" w:ascii="宋体" w:hAnsi="宋体" w:eastAsia="宋体" w:cs="Times New Roman"/>
                <w:sz w:val="21"/>
                <w:szCs w:val="21"/>
              </w:rPr>
              <w:t>部分满足采购需求</w:t>
            </w:r>
            <w:r>
              <w:rPr>
                <w:rFonts w:hint="eastAsia" w:ascii="宋体" w:hAnsi="宋体" w:eastAsia="宋体" w:cs="Times New Roman"/>
                <w:kern w:val="2"/>
                <w:sz w:val="21"/>
                <w:szCs w:val="21"/>
                <w:lang w:val="en-US" w:eastAsia="zh-CN" w:bidi="ar-SA"/>
              </w:rPr>
              <w:t xml:space="preserve">，得4分； </w:t>
            </w:r>
          </w:p>
          <w:p>
            <w:pPr>
              <w:numPr>
                <w:ilvl w:val="0"/>
                <w:numId w:val="0"/>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rPr>
              <w:t>3</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sz w:val="21"/>
                <w:szCs w:val="21"/>
              </w:rPr>
            </w:pPr>
            <w:r>
              <w:rPr>
                <w:rFonts w:hint="eastAsia" w:ascii="宋体" w:hAnsi="宋体" w:eastAsia="宋体" w:cs="Times New Roman"/>
                <w:bCs w:val="0"/>
                <w:sz w:val="21"/>
                <w:szCs w:val="21"/>
              </w:rPr>
              <w:t>服务工具</w:t>
            </w:r>
          </w:p>
        </w:tc>
        <w:tc>
          <w:tcPr>
            <w:tcW w:w="687" w:type="dxa"/>
            <w:tcMar>
              <w:top w:w="16" w:type="dxa"/>
              <w:left w:w="16" w:type="dxa"/>
              <w:bottom w:w="0" w:type="dxa"/>
              <w:right w:w="16" w:type="dxa"/>
            </w:tcMar>
            <w:vAlign w:val="center"/>
          </w:tcPr>
          <w:p>
            <w:pPr>
              <w:pStyle w:val="3"/>
              <w:jc w:val="center"/>
              <w:rPr>
                <w:rFonts w:hAnsi="宋体"/>
              </w:rPr>
            </w:pPr>
            <w:r>
              <w:rPr>
                <w:rFonts w:hint="eastAsia" w:ascii="宋体" w:hAnsi="宋体"/>
                <w:bCs/>
                <w:sz w:val="21"/>
                <w:szCs w:val="21"/>
                <w:lang w:val="en-US" w:eastAsia="zh-CN"/>
              </w:rPr>
              <w:t>8分</w:t>
            </w:r>
          </w:p>
        </w:tc>
        <w:tc>
          <w:tcPr>
            <w:tcW w:w="6713" w:type="dxa"/>
            <w:tcMar>
              <w:top w:w="16" w:type="dxa"/>
              <w:left w:w="16" w:type="dxa"/>
              <w:bottom w:w="0" w:type="dxa"/>
              <w:right w:w="16" w:type="dxa"/>
            </w:tcMar>
            <w:vAlign w:val="center"/>
          </w:tcPr>
          <w:p>
            <w:p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响应供应商具有以下服务工具：</w:t>
            </w:r>
          </w:p>
          <w:p>
            <w:pPr>
              <w:numPr>
                <w:ilvl w:val="0"/>
                <w:numId w:val="4"/>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网络安全等级保护测评及管理工具；</w:t>
            </w:r>
          </w:p>
          <w:p>
            <w:pPr>
              <w:numPr>
                <w:ilvl w:val="0"/>
                <w:numId w:val="4"/>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网络边界入侵监测追踪工具；</w:t>
            </w:r>
          </w:p>
          <w:p>
            <w:pPr>
              <w:numPr>
                <w:ilvl w:val="0"/>
                <w:numId w:val="4"/>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网络安全攻防对抗演练平台系统工具；</w:t>
            </w:r>
          </w:p>
          <w:p>
            <w:pPr>
              <w:numPr>
                <w:ilvl w:val="0"/>
                <w:numId w:val="4"/>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数据安全评估工具；</w:t>
            </w:r>
          </w:p>
          <w:p>
            <w:pPr>
              <w:numPr>
                <w:ilvl w:val="0"/>
                <w:numId w:val="0"/>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5.网络安全渗透测试工具；</w:t>
            </w:r>
          </w:p>
          <w:p>
            <w:pPr>
              <w:numPr>
                <w:ilvl w:val="0"/>
                <w:numId w:val="0"/>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6.源代码安全检测工具；</w:t>
            </w:r>
          </w:p>
          <w:p>
            <w:pPr>
              <w:numPr>
                <w:ilvl w:val="0"/>
                <w:numId w:val="0"/>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7.网络安全漏洞扫描工具；</w:t>
            </w:r>
          </w:p>
          <w:p>
            <w:pPr>
              <w:numPr>
                <w:ilvl w:val="0"/>
                <w:numId w:val="0"/>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8.关键信息基础设施安全评估工具。每满足一项得1分。</w:t>
            </w:r>
          </w:p>
          <w:p>
            <w:pPr>
              <w:numPr>
                <w:ilvl w:val="0"/>
                <w:numId w:val="0"/>
              </w:numPr>
              <w:ind w:firstLine="0"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项最高得8分。注：提供以下证明材料之一：1.工具为投标人自有的，提供相关工具软件著作权登记证书复印件（同一个工具包含多个功能的，可按功能得分）并加盖投标人公章；2.工具为投标人从第三方购买的，则需提供相关工具软件著作权登记证书及向版权人购买的工具产品合同关键页（合同封面、内容及双方签章页）复印件并加盖投标人公章；3.工具为投标人租赁的，提供租赁协议/合同和相关工具软件著作权登记证书复印件并加盖投标人公章；4.提供承诺函，承诺合同签订后保证根据采购人需求投入具备上述功能的工具，承诺函中须明确具体配备的工具类别及配备时间。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宋体" w:hAnsi="宋体" w:eastAsia="宋体"/>
                <w:bCs/>
                <w:sz w:val="21"/>
                <w:szCs w:val="21"/>
                <w:lang w:val="en-US" w:eastAsia="zh-CN"/>
              </w:rPr>
            </w:pPr>
            <w:r>
              <w:rPr>
                <w:rFonts w:hint="eastAsia" w:ascii="宋体" w:hAnsi="宋体"/>
                <w:bCs/>
                <w:sz w:val="21"/>
                <w:szCs w:val="21"/>
                <w:lang w:val="en-US" w:eastAsia="zh-CN"/>
              </w:rPr>
              <w:t>4</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sz w:val="21"/>
                <w:szCs w:val="21"/>
              </w:rPr>
            </w:pPr>
            <w:r>
              <w:rPr>
                <w:rFonts w:hint="eastAsia" w:ascii="宋体" w:hAnsi="宋体" w:eastAsia="宋体" w:cs="Times New Roman"/>
                <w:sz w:val="21"/>
                <w:szCs w:val="21"/>
              </w:rPr>
              <w:t>项目质量方案</w:t>
            </w:r>
          </w:p>
        </w:tc>
        <w:tc>
          <w:tcPr>
            <w:tcW w:w="687" w:type="dxa"/>
            <w:tcMar>
              <w:top w:w="16" w:type="dxa"/>
              <w:left w:w="16" w:type="dxa"/>
              <w:bottom w:w="0" w:type="dxa"/>
              <w:right w:w="16" w:type="dxa"/>
            </w:tcMar>
            <w:vAlign w:val="center"/>
          </w:tcPr>
          <w:p>
            <w:pPr>
              <w:pStyle w:val="3"/>
              <w:jc w:val="center"/>
              <w:rPr>
                <w:rFonts w:hint="eastAsia" w:hAnsi="宋体"/>
                <w:bCs/>
              </w:rPr>
            </w:pPr>
            <w:r>
              <w:rPr>
                <w:rFonts w:hint="eastAsia" w:ascii="宋体" w:hAnsi="宋体" w:eastAsia="宋体" w:cs="Times New Roman"/>
                <w:sz w:val="21"/>
                <w:szCs w:val="21"/>
              </w:rPr>
              <w:t>1</w:t>
            </w:r>
            <w:r>
              <w:rPr>
                <w:rFonts w:hint="eastAsia" w:ascii="宋体" w:hAnsi="宋体" w:eastAsia="宋体" w:cs="Times New Roman"/>
                <w:sz w:val="21"/>
                <w:szCs w:val="21"/>
                <w:lang w:val="en-US" w:eastAsia="zh-CN"/>
              </w:rPr>
              <w:t>0</w:t>
            </w:r>
            <w:r>
              <w:rPr>
                <w:rFonts w:hint="eastAsia" w:ascii="宋体" w:hAnsi="宋体" w:eastAsia="宋体" w:cs="Times New Roman"/>
                <w:sz w:val="21"/>
                <w:szCs w:val="21"/>
              </w:rPr>
              <w:t>分</w:t>
            </w:r>
          </w:p>
        </w:tc>
        <w:tc>
          <w:tcPr>
            <w:tcW w:w="6713" w:type="dxa"/>
            <w:tcMar>
              <w:top w:w="16" w:type="dxa"/>
              <w:left w:w="16" w:type="dxa"/>
              <w:bottom w:w="0" w:type="dxa"/>
              <w:right w:w="16" w:type="dxa"/>
            </w:tcMar>
            <w:vAlign w:val="center"/>
          </w:tcPr>
          <w:p>
            <w:pPr>
              <w:numPr>
                <w:ilvl w:val="0"/>
                <w:numId w:val="0"/>
              </w:numPr>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根据响应供应商对本项目用户需求中内容提供的质量保障方案，内容包括但不限于对质量监督措施、配置管理措施、对缺陷的控制及纠正措施等进行评审： </w:t>
            </w:r>
          </w:p>
          <w:p>
            <w:pPr>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1.方案完备、详细清晰、可行性高，完全满足且优于采购需求，得1</w:t>
            </w:r>
            <w:r>
              <w:rPr>
                <w:rFonts w:hint="eastAsia" w:ascii="宋体" w:hAnsi="宋体" w:eastAsia="宋体" w:cs="Times New Roman"/>
                <w:sz w:val="21"/>
                <w:szCs w:val="21"/>
                <w:lang w:val="en-US" w:eastAsia="zh-CN"/>
              </w:rPr>
              <w:t>0分</w:t>
            </w:r>
            <w:r>
              <w:rPr>
                <w:rFonts w:hint="eastAsia" w:ascii="宋体" w:hAnsi="宋体" w:eastAsia="宋体" w:cs="Times New Roman"/>
                <w:sz w:val="21"/>
                <w:szCs w:val="21"/>
              </w:rPr>
              <w:t>；</w:t>
            </w:r>
          </w:p>
          <w:p>
            <w:pPr>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2.方案完整、基本可行，完全满足采购需求，得</w:t>
            </w:r>
            <w:r>
              <w:rPr>
                <w:rFonts w:hint="eastAsia" w:ascii="宋体" w:hAnsi="宋体" w:eastAsia="宋体" w:cs="Times New Roman"/>
                <w:sz w:val="21"/>
                <w:szCs w:val="21"/>
                <w:lang w:val="en-US" w:eastAsia="zh-CN"/>
              </w:rPr>
              <w:t>7</w:t>
            </w:r>
            <w:r>
              <w:rPr>
                <w:rFonts w:hint="eastAsia" w:ascii="宋体" w:hAnsi="宋体" w:eastAsia="宋体" w:cs="Times New Roman"/>
                <w:sz w:val="21"/>
                <w:szCs w:val="21"/>
              </w:rPr>
              <w:t>分；</w:t>
            </w:r>
          </w:p>
          <w:p>
            <w:pPr>
              <w:ind w:firstLine="0" w:firstLineChars="0"/>
              <w:jc w:val="left"/>
              <w:rPr>
                <w:rFonts w:hint="eastAsia" w:ascii="宋体" w:hAnsi="宋体" w:eastAsia="宋体" w:cs="Times New Roman"/>
                <w:sz w:val="21"/>
                <w:szCs w:val="21"/>
              </w:rPr>
            </w:pPr>
            <w:r>
              <w:rPr>
                <w:rFonts w:hint="eastAsia" w:ascii="宋体" w:hAnsi="宋体" w:eastAsia="宋体" w:cs="Times New Roman"/>
                <w:sz w:val="21"/>
                <w:szCs w:val="21"/>
              </w:rPr>
              <w:t>3.方案不详细、可行性不高、部分满足采购需求，得</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分；</w:t>
            </w:r>
          </w:p>
          <w:p>
            <w:pPr>
              <w:numPr>
                <w:ilvl w:val="0"/>
                <w:numId w:val="0"/>
              </w:numPr>
              <w:jc w:val="left"/>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2173" w:type="dxa"/>
            <w:gridSpan w:val="2"/>
            <w:vAlign w:val="center"/>
          </w:tcPr>
          <w:p>
            <w:pPr>
              <w:jc w:val="center"/>
              <w:rPr>
                <w:rFonts w:ascii="宋体" w:hAnsi="宋体"/>
                <w:bCs/>
                <w:sz w:val="21"/>
                <w:szCs w:val="21"/>
              </w:rPr>
            </w:pPr>
            <w:r>
              <w:rPr>
                <w:rFonts w:hint="eastAsia" w:ascii="宋体" w:hAnsi="宋体"/>
                <w:bCs/>
                <w:sz w:val="21"/>
                <w:szCs w:val="21"/>
              </w:rPr>
              <w:t>合计</w:t>
            </w:r>
          </w:p>
        </w:tc>
        <w:tc>
          <w:tcPr>
            <w:tcW w:w="687" w:type="dxa"/>
            <w:vAlign w:val="center"/>
          </w:tcPr>
          <w:p>
            <w:pPr>
              <w:pStyle w:val="3"/>
              <w:jc w:val="center"/>
              <w:rPr>
                <w:rFonts w:hAnsi="宋体"/>
              </w:rPr>
            </w:pPr>
            <w:r>
              <w:rPr>
                <w:rFonts w:hint="eastAsia" w:hAnsi="宋体"/>
                <w:bCs/>
                <w:lang w:val="en-US" w:eastAsia="zh-CN"/>
              </w:rPr>
              <w:t>4</w:t>
            </w:r>
            <w:r>
              <w:rPr>
                <w:rFonts w:hint="eastAsia" w:hAnsi="宋体"/>
                <w:bCs/>
              </w:rPr>
              <w:t>0分</w:t>
            </w:r>
          </w:p>
        </w:tc>
        <w:tc>
          <w:tcPr>
            <w:tcW w:w="6713" w:type="dxa"/>
            <w:tcMar>
              <w:top w:w="16" w:type="dxa"/>
              <w:left w:w="16" w:type="dxa"/>
              <w:bottom w:w="0" w:type="dxa"/>
              <w:right w:w="16" w:type="dxa"/>
            </w:tcMar>
            <w:vAlign w:val="center"/>
          </w:tcPr>
          <w:p>
            <w:pPr>
              <w:rPr>
                <w:rFonts w:ascii="宋体" w:hAnsi="宋体"/>
                <w:bCs/>
                <w:sz w:val="21"/>
                <w:szCs w:val="21"/>
              </w:rPr>
            </w:pPr>
          </w:p>
        </w:tc>
      </w:tr>
    </w:tbl>
    <w:p>
      <w:pPr>
        <w:spacing w:line="400" w:lineRule="exact"/>
        <w:rPr>
          <w:rFonts w:hint="eastAsia" w:ascii="宋体" w:hAnsi="宋体"/>
          <w:szCs w:val="24"/>
        </w:rPr>
      </w:pPr>
      <w:r>
        <w:rPr>
          <w:rFonts w:hint="eastAsia" w:ascii="宋体" w:hAnsi="宋体"/>
          <w:szCs w:val="24"/>
          <w:lang w:val="en-US" w:eastAsia="zh-CN"/>
        </w:rPr>
        <w:t>技术</w:t>
      </w:r>
      <w:r>
        <w:rPr>
          <w:rFonts w:hint="eastAsia" w:ascii="宋体" w:hAnsi="宋体"/>
          <w:szCs w:val="24"/>
        </w:rPr>
        <w:t>部分计算公式如下：</w:t>
      </w:r>
    </w:p>
    <w:p>
      <w:pPr>
        <w:spacing w:line="400" w:lineRule="exact"/>
        <w:ind w:firstLine="420" w:firstLineChars="200"/>
        <w:rPr>
          <w:rFonts w:hint="eastAsia" w:ascii="宋体" w:hAnsi="宋体"/>
          <w:szCs w:val="24"/>
        </w:rPr>
      </w:pPr>
      <w:r>
        <w:rPr>
          <w:rFonts w:hint="eastAsia" w:ascii="宋体" w:hAnsi="宋体"/>
          <w:szCs w:val="24"/>
        </w:rPr>
        <w:t>子项</w:t>
      </w:r>
      <w:r>
        <w:rPr>
          <w:rFonts w:hint="eastAsia" w:ascii="宋体" w:hAnsi="宋体"/>
          <w:szCs w:val="24"/>
          <w:lang w:eastAsia="zh-Hans"/>
        </w:rPr>
        <w:t>服务</w:t>
      </w:r>
      <w:r>
        <w:rPr>
          <w:rFonts w:hint="eastAsia" w:ascii="宋体" w:hAnsi="宋体"/>
          <w:szCs w:val="24"/>
        </w:rPr>
        <w:t>评分=（各评委子项评分总和）</w:t>
      </w:r>
      <w:r>
        <w:rPr>
          <w:rFonts w:ascii="宋体" w:hAnsi="宋体"/>
          <w:szCs w:val="24"/>
          <w:lang w:val="en-GB"/>
        </w:rPr>
        <w:t>÷评委人数</w:t>
      </w:r>
      <w:r>
        <w:rPr>
          <w:rFonts w:hint="eastAsia" w:ascii="宋体" w:hAnsi="宋体"/>
          <w:szCs w:val="24"/>
          <w:lang w:val="en-GB"/>
        </w:rPr>
        <w:t xml:space="preserve"> </w:t>
      </w:r>
    </w:p>
    <w:p>
      <w:pPr>
        <w:spacing w:line="400" w:lineRule="exact"/>
        <w:ind w:firstLine="420" w:firstLineChars="200"/>
        <w:rPr>
          <w:rFonts w:hint="eastAsia" w:ascii="宋体" w:hAnsi="宋体"/>
          <w:szCs w:val="24"/>
        </w:rPr>
      </w:pPr>
      <w:r>
        <w:rPr>
          <w:rFonts w:hint="eastAsia" w:ascii="宋体" w:hAnsi="宋体"/>
          <w:szCs w:val="24"/>
          <w:lang w:val="en-US" w:eastAsia="zh-CN"/>
        </w:rPr>
        <w:t>技术</w:t>
      </w:r>
      <w:r>
        <w:rPr>
          <w:rFonts w:hint="eastAsia" w:ascii="宋体" w:hAnsi="宋体"/>
          <w:szCs w:val="24"/>
        </w:rPr>
        <w:t>得分=各子项技术评分的总和</w:t>
      </w:r>
    </w:p>
    <w:p>
      <w:pPr>
        <w:rPr>
          <w:rFonts w:hint="eastAsia"/>
        </w:rPr>
      </w:pPr>
    </w:p>
    <w:p>
      <w:pPr>
        <w:numPr>
          <w:ilvl w:val="0"/>
          <w:numId w:val="2"/>
        </w:numPr>
        <w:tabs>
          <w:tab w:val="left" w:pos="510"/>
          <w:tab w:val="left" w:pos="540"/>
        </w:tabs>
        <w:snapToGrid w:val="0"/>
        <w:spacing w:line="400" w:lineRule="exact"/>
        <w:rPr>
          <w:rFonts w:hint="eastAsia" w:ascii="宋体" w:hAnsi="宋体"/>
          <w:szCs w:val="24"/>
          <w:lang w:val="en-GB"/>
        </w:rPr>
      </w:pPr>
      <w:r>
        <w:rPr>
          <w:rFonts w:hint="eastAsia" w:ascii="宋体" w:hAnsi="宋体"/>
          <w:szCs w:val="24"/>
          <w:lang w:val="en-GB"/>
        </w:rPr>
        <w:t>商务部分评审标准（权重</w:t>
      </w:r>
      <w:r>
        <w:rPr>
          <w:rFonts w:hint="eastAsia" w:ascii="宋体" w:hAnsi="宋体"/>
          <w:szCs w:val="24"/>
          <w:lang w:val="en-US" w:eastAsia="zh-CN"/>
        </w:rPr>
        <w:t>3</w:t>
      </w:r>
      <w:r>
        <w:rPr>
          <w:rFonts w:hint="eastAsia" w:ascii="宋体" w:hAnsi="宋体"/>
          <w:szCs w:val="24"/>
        </w:rPr>
        <w:t>0</w:t>
      </w:r>
      <w:r>
        <w:rPr>
          <w:rFonts w:hint="eastAsia" w:ascii="宋体" w:hAnsi="宋体"/>
          <w:szCs w:val="24"/>
          <w:lang w:val="en-GB"/>
        </w:rPr>
        <w:t>%)</w:t>
      </w:r>
    </w:p>
    <w:tbl>
      <w:tblPr>
        <w:tblStyle w:val="6"/>
        <w:tblW w:w="9459" w:type="dxa"/>
        <w:jc w:val="center"/>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1412"/>
        <w:gridCol w:w="675"/>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blHeader/>
          <w:jc w:val="center"/>
        </w:trPr>
        <w:tc>
          <w:tcPr>
            <w:tcW w:w="2805" w:type="dxa"/>
            <w:gridSpan w:val="3"/>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cs="宋体"/>
                <w:bCs/>
                <w:sz w:val="21"/>
                <w:szCs w:val="21"/>
              </w:rPr>
              <w:t>评审分项</w:t>
            </w:r>
          </w:p>
        </w:tc>
        <w:tc>
          <w:tcPr>
            <w:tcW w:w="6654" w:type="dxa"/>
            <w:vMerge w:val="restart"/>
            <w:vAlign w:val="center"/>
          </w:tcPr>
          <w:p>
            <w:pPr>
              <w:jc w:val="center"/>
              <w:rPr>
                <w:rFonts w:hint="eastAsia" w:ascii="宋体" w:hAnsi="宋体" w:cs="宋体"/>
                <w:bCs/>
                <w:sz w:val="21"/>
                <w:szCs w:val="21"/>
              </w:rPr>
            </w:pPr>
            <w:r>
              <w:rPr>
                <w:rFonts w:hint="eastAsia" w:ascii="宋体" w:hAnsi="宋体" w:cs="宋体"/>
                <w:bCs/>
                <w:sz w:val="21"/>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blHeader/>
          <w:jc w:val="center"/>
        </w:trPr>
        <w:tc>
          <w:tcPr>
            <w:tcW w:w="718" w:type="dxa"/>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cs="宋体"/>
                <w:bCs/>
                <w:sz w:val="21"/>
                <w:szCs w:val="21"/>
              </w:rPr>
              <w:t>序号</w:t>
            </w:r>
          </w:p>
        </w:tc>
        <w:tc>
          <w:tcPr>
            <w:tcW w:w="1412" w:type="dxa"/>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cs="宋体"/>
                <w:bCs/>
                <w:sz w:val="21"/>
                <w:szCs w:val="21"/>
              </w:rPr>
              <w:t>内容</w:t>
            </w:r>
          </w:p>
        </w:tc>
        <w:tc>
          <w:tcPr>
            <w:tcW w:w="675" w:type="dxa"/>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cs="宋体"/>
                <w:bCs/>
                <w:sz w:val="21"/>
                <w:szCs w:val="21"/>
              </w:rPr>
              <w:t>分值</w:t>
            </w:r>
          </w:p>
        </w:tc>
        <w:tc>
          <w:tcPr>
            <w:tcW w:w="6654" w:type="dxa"/>
            <w:vMerge w:val="continue"/>
            <w:tcMar>
              <w:top w:w="16" w:type="dxa"/>
              <w:left w:w="16" w:type="dxa"/>
              <w:bottom w:w="0" w:type="dxa"/>
              <w:right w:w="16" w:type="dxa"/>
            </w:tcMar>
            <w:vAlign w:val="center"/>
          </w:tcPr>
          <w:p>
            <w:pPr>
              <w:jc w:val="center"/>
              <w:rPr>
                <w:rFonts w:hint="eastAsia"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bCs/>
                <w:sz w:val="21"/>
                <w:szCs w:val="21"/>
              </w:rPr>
              <w:t>1</w:t>
            </w:r>
          </w:p>
        </w:tc>
        <w:tc>
          <w:tcPr>
            <w:tcW w:w="1412" w:type="dxa"/>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bCs/>
                <w:sz w:val="21"/>
                <w:szCs w:val="21"/>
                <w:lang w:val="en-US" w:eastAsia="zh-CN"/>
              </w:rPr>
              <w:t>同类业绩情况</w:t>
            </w:r>
          </w:p>
        </w:tc>
        <w:tc>
          <w:tcPr>
            <w:tcW w:w="675" w:type="dxa"/>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bCs/>
                <w:sz w:val="21"/>
                <w:szCs w:val="21"/>
                <w:lang w:val="en-US" w:eastAsia="zh-CN"/>
              </w:rPr>
              <w:t>9</w:t>
            </w:r>
            <w:r>
              <w:rPr>
                <w:rFonts w:hint="eastAsia" w:ascii="宋体" w:hAnsi="宋体"/>
                <w:bCs/>
                <w:sz w:val="21"/>
                <w:szCs w:val="21"/>
              </w:rPr>
              <w:t>分</w:t>
            </w:r>
          </w:p>
        </w:tc>
        <w:tc>
          <w:tcPr>
            <w:tcW w:w="6654" w:type="dxa"/>
            <w:tcMar>
              <w:top w:w="16" w:type="dxa"/>
              <w:left w:w="16" w:type="dxa"/>
              <w:bottom w:w="0" w:type="dxa"/>
              <w:right w:w="16" w:type="dxa"/>
            </w:tcMar>
            <w:vAlign w:val="center"/>
          </w:tcPr>
          <w:p>
            <w:pPr>
              <w:rPr>
                <w:rFonts w:hint="eastAsia" w:eastAsia="宋体"/>
                <w:color w:val="auto"/>
                <w:lang w:eastAsia="zh-CN"/>
              </w:rPr>
            </w:pPr>
            <w:r>
              <w:rPr>
                <w:rFonts w:hint="eastAsia" w:ascii="宋体" w:hAnsi="宋体" w:eastAsia="宋体" w:cs="Times New Roman"/>
                <w:sz w:val="21"/>
                <w:szCs w:val="21"/>
              </w:rPr>
              <w:t>投标人自 202</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 xml:space="preserve"> 年1月1日至本项目投标截止之日（以合同签订时间为准），提供同类项目</w:t>
            </w:r>
            <w:r>
              <w:rPr>
                <w:rFonts w:hint="eastAsia" w:ascii="宋体" w:hAnsi="宋体" w:eastAsia="宋体" w:cs="Times New Roman"/>
                <w:sz w:val="21"/>
                <w:szCs w:val="21"/>
                <w:lang w:val="en-US" w:eastAsia="zh-CN"/>
              </w:rPr>
              <w:t>业绩</w:t>
            </w:r>
            <w:r>
              <w:rPr>
                <w:rFonts w:hint="eastAsia" w:ascii="宋体" w:hAnsi="宋体" w:eastAsia="宋体" w:cs="Times New Roman"/>
                <w:sz w:val="21"/>
                <w:szCs w:val="21"/>
              </w:rPr>
              <w:t>，每提供1个符合要求的项目案例得</w:t>
            </w:r>
            <w:r>
              <w:rPr>
                <w:rFonts w:hint="eastAsia" w:ascii="宋体" w:hAnsi="宋体" w:eastAsia="宋体" w:cs="Times New Roman"/>
                <w:sz w:val="21"/>
                <w:szCs w:val="21"/>
                <w:lang w:eastAsia="zh-CN"/>
              </w:rPr>
              <w:t>3</w:t>
            </w:r>
            <w:r>
              <w:rPr>
                <w:rFonts w:hint="eastAsia" w:ascii="宋体" w:hAnsi="宋体" w:eastAsia="宋体" w:cs="Times New Roman"/>
                <w:sz w:val="21"/>
                <w:szCs w:val="21"/>
              </w:rPr>
              <w:t>分，本项最高得</w:t>
            </w:r>
            <w:r>
              <w:rPr>
                <w:rFonts w:hint="eastAsia" w:ascii="宋体" w:hAnsi="宋体" w:eastAsia="宋体" w:cs="Times New Roman"/>
                <w:sz w:val="21"/>
                <w:szCs w:val="21"/>
                <w:lang w:eastAsia="zh-CN"/>
              </w:rPr>
              <w:t>9</w:t>
            </w:r>
            <w:r>
              <w:rPr>
                <w:rFonts w:hint="eastAsia" w:ascii="宋体" w:hAnsi="宋体" w:eastAsia="宋体" w:cs="Times New Roman"/>
                <w:sz w:val="21"/>
                <w:szCs w:val="21"/>
              </w:rPr>
              <w:t>分。注：需提供业绩合同关键页扫描件加盖投标人公章</w:t>
            </w:r>
            <w:r>
              <w:rPr>
                <w:rFonts w:hint="eastAsia" w:ascii="宋体" w:hAnsi="宋体" w:eastAsia="宋体" w:cs="Times New Roman"/>
                <w:sz w:val="21"/>
                <w:szCs w:val="21"/>
                <w:lang w:eastAsia="zh-CN"/>
              </w:rPr>
              <w:t>，</w:t>
            </w:r>
            <w:r>
              <w:rPr>
                <w:rFonts w:hint="eastAsia" w:ascii="宋体" w:hAnsi="宋体" w:eastAsia="宋体" w:cs="Times New Roman"/>
                <w:sz w:val="21"/>
                <w:szCs w:val="21"/>
              </w:rPr>
              <w:t>不提供或提供不全不得分</w:t>
            </w:r>
            <w:r>
              <w:rPr>
                <w:rFonts w:hint="eastAsia" w:ascii="宋体" w:hAnsi="宋体"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宋体" w:hAnsi="宋体" w:eastAsia="宋体" w:cs="Times New Roman"/>
                <w:bCs/>
                <w:sz w:val="21"/>
                <w:szCs w:val="21"/>
              </w:rPr>
            </w:pPr>
            <w:r>
              <w:rPr>
                <w:rFonts w:hint="eastAsia" w:ascii="宋体" w:hAnsi="宋体" w:eastAsia="宋体" w:cs="Times New Roman"/>
                <w:bCs/>
                <w:sz w:val="21"/>
                <w:szCs w:val="21"/>
              </w:rPr>
              <w:t>2</w:t>
            </w:r>
          </w:p>
        </w:tc>
        <w:tc>
          <w:tcPr>
            <w:tcW w:w="1412" w:type="dxa"/>
            <w:tcMar>
              <w:top w:w="16" w:type="dxa"/>
              <w:left w:w="16" w:type="dxa"/>
              <w:bottom w:w="0" w:type="dxa"/>
              <w:right w:w="16" w:type="dxa"/>
            </w:tcMar>
            <w:vAlign w:val="center"/>
          </w:tcPr>
          <w:p>
            <w:pPr>
              <w:jc w:val="center"/>
              <w:rPr>
                <w:rFonts w:hint="eastAsia" w:ascii="宋体" w:hAnsi="宋体" w:eastAsia="宋体" w:cs="Times New Roman"/>
                <w:bCs/>
                <w:sz w:val="21"/>
                <w:szCs w:val="21"/>
              </w:rPr>
            </w:pPr>
            <w:r>
              <w:rPr>
                <w:rFonts w:hint="eastAsia" w:ascii="宋体" w:hAnsi="宋体" w:eastAsia="宋体" w:cs="Times New Roman"/>
                <w:bCs/>
                <w:sz w:val="21"/>
                <w:szCs w:val="21"/>
              </w:rPr>
              <w:t>供应商荣誉</w:t>
            </w:r>
          </w:p>
        </w:tc>
        <w:tc>
          <w:tcPr>
            <w:tcW w:w="675" w:type="dxa"/>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bCs/>
                <w:sz w:val="21"/>
                <w:szCs w:val="21"/>
                <w:lang w:val="en-US" w:eastAsia="zh-CN"/>
              </w:rPr>
              <w:t>9</w:t>
            </w:r>
            <w:r>
              <w:rPr>
                <w:rFonts w:hint="eastAsia" w:ascii="宋体" w:hAnsi="宋体"/>
                <w:bCs/>
                <w:sz w:val="21"/>
                <w:szCs w:val="21"/>
              </w:rPr>
              <w:t>分</w:t>
            </w:r>
          </w:p>
        </w:tc>
        <w:tc>
          <w:tcPr>
            <w:tcW w:w="6654" w:type="dxa"/>
            <w:tcMar>
              <w:top w:w="16" w:type="dxa"/>
              <w:left w:w="16" w:type="dxa"/>
              <w:bottom w:w="0" w:type="dxa"/>
              <w:right w:w="16" w:type="dxa"/>
            </w:tcMar>
            <w:vAlign w:val="center"/>
          </w:tcPr>
          <w:p>
            <w:pPr>
              <w:rPr>
                <w:rFonts w:hint="eastAsia" w:ascii="宋体" w:hAnsi="宋体" w:eastAsia="宋体" w:cs="Times New Roman"/>
                <w:sz w:val="21"/>
                <w:szCs w:val="21"/>
              </w:rPr>
            </w:pPr>
            <w:r>
              <w:rPr>
                <w:rFonts w:hint="eastAsia" w:ascii="宋体" w:hAnsi="宋体" w:eastAsia="宋体" w:cs="Times New Roman"/>
                <w:sz w:val="21"/>
                <w:szCs w:val="21"/>
              </w:rPr>
              <w:t>1.获得质量管理体系认证证书的，得</w:t>
            </w:r>
            <w:r>
              <w:rPr>
                <w:rFonts w:hint="eastAsia" w:ascii="宋体" w:hAnsi="宋体" w:eastAsia="宋体" w:cs="Times New Roman"/>
                <w:sz w:val="21"/>
                <w:szCs w:val="21"/>
                <w:lang w:eastAsia="zh-CN"/>
              </w:rPr>
              <w:t>3</w:t>
            </w:r>
            <w:r>
              <w:rPr>
                <w:rFonts w:hint="eastAsia" w:ascii="宋体" w:hAnsi="宋体" w:eastAsia="宋体" w:cs="Times New Roman"/>
                <w:sz w:val="21"/>
                <w:szCs w:val="21"/>
              </w:rPr>
              <w:t>分；</w:t>
            </w:r>
          </w:p>
          <w:p>
            <w:pPr>
              <w:rPr>
                <w:rFonts w:hint="eastAsia" w:ascii="宋体" w:hAnsi="宋体" w:eastAsia="宋体" w:cs="Times New Roman"/>
                <w:sz w:val="21"/>
                <w:szCs w:val="21"/>
              </w:rPr>
            </w:pPr>
            <w:r>
              <w:rPr>
                <w:rFonts w:hint="eastAsia" w:ascii="宋体" w:hAnsi="宋体" w:eastAsia="宋体" w:cs="Times New Roman"/>
                <w:sz w:val="21"/>
                <w:szCs w:val="21"/>
              </w:rPr>
              <w:t>2.获得信息安全管理体系认证证书的，得3分；</w:t>
            </w:r>
          </w:p>
          <w:p>
            <w:pPr>
              <w:rPr>
                <w:rFonts w:hint="eastAsia" w:ascii="宋体" w:hAnsi="宋体" w:eastAsia="宋体" w:cs="Times New Roman"/>
                <w:sz w:val="21"/>
                <w:szCs w:val="21"/>
              </w:rPr>
            </w:pPr>
            <w:r>
              <w:rPr>
                <w:rFonts w:hint="eastAsia" w:ascii="宋体" w:hAnsi="宋体" w:eastAsia="宋体" w:cs="Times New Roman"/>
                <w:sz w:val="21"/>
                <w:szCs w:val="21"/>
              </w:rPr>
              <w:t>3.获得信息技术服务管理体系认证证书的，得3分；</w:t>
            </w:r>
          </w:p>
          <w:p>
            <w:pPr>
              <w:rPr>
                <w:rFonts w:hint="eastAsia"/>
              </w:rPr>
            </w:pPr>
            <w:r>
              <w:rPr>
                <w:rFonts w:hint="eastAsia" w:ascii="宋体" w:hAnsi="宋体" w:eastAsia="宋体" w:cs="Times New Roman"/>
                <w:sz w:val="21"/>
                <w:szCs w:val="21"/>
              </w:rPr>
              <w:t>以上证书需提供复印件并加盖投标人公章，不提供不得分。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宋体" w:hAnsi="宋体" w:eastAsia="宋体" w:cs="Times New Roman"/>
                <w:bCs/>
                <w:sz w:val="21"/>
                <w:szCs w:val="21"/>
                <w:lang w:val="en-US" w:eastAsia="zh-CN"/>
              </w:rPr>
            </w:pPr>
            <w:r>
              <w:rPr>
                <w:rFonts w:hint="eastAsia" w:ascii="宋体" w:hAnsi="宋体" w:eastAsia="宋体" w:cs="Times New Roman"/>
                <w:bCs/>
                <w:sz w:val="21"/>
                <w:szCs w:val="21"/>
                <w:lang w:val="en-US" w:eastAsia="zh-CN"/>
              </w:rPr>
              <w:t>3</w:t>
            </w:r>
          </w:p>
        </w:tc>
        <w:tc>
          <w:tcPr>
            <w:tcW w:w="1412" w:type="dxa"/>
            <w:tcMar>
              <w:top w:w="16" w:type="dxa"/>
              <w:left w:w="16" w:type="dxa"/>
              <w:bottom w:w="0" w:type="dxa"/>
              <w:right w:w="16" w:type="dxa"/>
            </w:tcMar>
            <w:vAlign w:val="center"/>
          </w:tcPr>
          <w:p>
            <w:pPr>
              <w:jc w:val="center"/>
              <w:rPr>
                <w:rFonts w:hint="eastAsia" w:ascii="宋体" w:hAnsi="宋体" w:eastAsia="宋体" w:cs="Times New Roman"/>
                <w:bCs/>
                <w:sz w:val="21"/>
                <w:szCs w:val="21"/>
              </w:rPr>
            </w:pPr>
            <w:r>
              <w:rPr>
                <w:rFonts w:hint="eastAsia" w:ascii="宋体" w:hAnsi="宋体" w:eastAsia="宋体" w:cs="Times New Roman"/>
                <w:bCs/>
                <w:sz w:val="21"/>
                <w:szCs w:val="21"/>
              </w:rPr>
              <w:t xml:space="preserve">投标人拟投入项目实施团队人员资质 </w:t>
            </w:r>
          </w:p>
        </w:tc>
        <w:tc>
          <w:tcPr>
            <w:tcW w:w="675" w:type="dxa"/>
            <w:tcMar>
              <w:top w:w="16" w:type="dxa"/>
              <w:left w:w="16" w:type="dxa"/>
              <w:bottom w:w="0" w:type="dxa"/>
              <w:right w:w="16" w:type="dxa"/>
            </w:tcMar>
            <w:vAlign w:val="center"/>
          </w:tcPr>
          <w:p>
            <w:pPr>
              <w:jc w:val="center"/>
              <w:rPr>
                <w:rFonts w:hint="default" w:ascii="宋体" w:hAnsi="宋体" w:eastAsia="宋体" w:cs="Times New Roman"/>
                <w:bCs w:val="0"/>
                <w:sz w:val="21"/>
                <w:szCs w:val="21"/>
                <w:lang w:val="en-US" w:eastAsia="zh-CN"/>
              </w:rPr>
            </w:pPr>
            <w:r>
              <w:rPr>
                <w:rFonts w:hint="eastAsia" w:ascii="宋体" w:hAnsi="宋体" w:eastAsia="宋体" w:cs="Times New Roman"/>
                <w:bCs w:val="0"/>
                <w:sz w:val="21"/>
                <w:szCs w:val="21"/>
                <w:lang w:val="en-US" w:eastAsia="zh-CN"/>
              </w:rPr>
              <w:t>12分</w:t>
            </w:r>
          </w:p>
        </w:tc>
        <w:tc>
          <w:tcPr>
            <w:tcW w:w="6654" w:type="dxa"/>
            <w:tcMar>
              <w:top w:w="16" w:type="dxa"/>
              <w:left w:w="16" w:type="dxa"/>
              <w:bottom w:w="0" w:type="dxa"/>
              <w:right w:w="16" w:type="dxa"/>
            </w:tcMar>
            <w:vAlign w:val="center"/>
          </w:tcPr>
          <w:p>
            <w:pPr>
              <w:rPr>
                <w:rFonts w:hint="eastAsia" w:ascii="宋体" w:hAnsi="宋体" w:eastAsia="宋体" w:cs="Times New Roman"/>
                <w:sz w:val="21"/>
                <w:szCs w:val="21"/>
              </w:rPr>
            </w:pPr>
            <w:r>
              <w:rPr>
                <w:rFonts w:hint="eastAsia" w:ascii="宋体" w:hAnsi="宋体" w:eastAsia="宋体" w:cs="Times New Roman"/>
                <w:sz w:val="21"/>
                <w:szCs w:val="21"/>
              </w:rPr>
              <w:t>根据</w:t>
            </w:r>
            <w:r>
              <w:rPr>
                <w:rFonts w:hint="eastAsia" w:ascii="宋体" w:hAnsi="宋体" w:eastAsia="宋体" w:cs="Times New Roman"/>
                <w:sz w:val="21"/>
                <w:szCs w:val="21"/>
                <w:lang w:val="en-US" w:eastAsia="zh-CN"/>
              </w:rPr>
              <w:t>响应供应商</w:t>
            </w:r>
            <w:r>
              <w:rPr>
                <w:rFonts w:hint="eastAsia" w:ascii="宋体" w:hAnsi="宋体" w:eastAsia="宋体" w:cs="Times New Roman"/>
                <w:sz w:val="21"/>
                <w:szCs w:val="21"/>
              </w:rPr>
              <w:t>拟投入本项目的</w:t>
            </w:r>
            <w:r>
              <w:rPr>
                <w:rFonts w:hint="eastAsia" w:ascii="宋体" w:hAnsi="宋体" w:eastAsia="宋体" w:cs="Times New Roman"/>
                <w:bCs w:val="0"/>
                <w:sz w:val="21"/>
                <w:szCs w:val="21"/>
              </w:rPr>
              <w:t>项目实施团队人员</w:t>
            </w:r>
            <w:r>
              <w:rPr>
                <w:rFonts w:hint="eastAsia" w:ascii="宋体" w:hAnsi="宋体" w:eastAsia="宋体" w:cs="Times New Roman"/>
                <w:sz w:val="21"/>
                <w:szCs w:val="21"/>
              </w:rPr>
              <w:t>情况进行评审：</w:t>
            </w:r>
          </w:p>
          <w:p>
            <w:pPr>
              <w:rPr>
                <w:rFonts w:hint="eastAsia" w:ascii="宋体" w:hAnsi="宋体" w:eastAsia="宋体" w:cs="Times New Roman"/>
                <w:sz w:val="21"/>
                <w:szCs w:val="21"/>
              </w:rPr>
            </w:pPr>
            <w:r>
              <w:rPr>
                <w:rFonts w:hint="eastAsia" w:ascii="宋体" w:hAnsi="宋体" w:eastAsia="宋体" w:cs="Times New Roman"/>
                <w:sz w:val="21"/>
                <w:szCs w:val="21"/>
              </w:rPr>
              <w:t>1、具有《计算机技术与软件专业技术资格证书》信息安全工程师或者网络工程师的，得2分:</w:t>
            </w:r>
          </w:p>
          <w:p>
            <w:pPr>
              <w:rPr>
                <w:rFonts w:hint="eastAsia" w:ascii="宋体" w:hAnsi="宋体" w:eastAsia="宋体" w:cs="Times New Roman"/>
                <w:sz w:val="21"/>
                <w:szCs w:val="21"/>
              </w:rPr>
            </w:pPr>
            <w:r>
              <w:rPr>
                <w:rFonts w:hint="eastAsia" w:ascii="宋体" w:hAnsi="宋体" w:eastAsia="宋体" w:cs="Times New Roman"/>
                <w:sz w:val="21"/>
                <w:szCs w:val="21"/>
              </w:rPr>
              <w:t>2、具有中国标准化电子技术标准化研究院《IT服务项目经理》证书的，得2分;</w:t>
            </w:r>
          </w:p>
          <w:p>
            <w:pPr>
              <w:rPr>
                <w:rFonts w:hint="eastAsia" w:ascii="宋体" w:hAnsi="宋体" w:eastAsia="宋体" w:cs="Times New Roman"/>
                <w:sz w:val="21"/>
                <w:szCs w:val="21"/>
              </w:rPr>
            </w:pPr>
            <w:r>
              <w:rPr>
                <w:rFonts w:hint="eastAsia" w:ascii="宋体" w:hAnsi="宋体" w:eastAsia="宋体" w:cs="Times New Roman"/>
                <w:sz w:val="21"/>
                <w:szCs w:val="21"/>
              </w:rPr>
              <w:t>3、具有中国网络安全审查技术与认证中心颁发《信息安全管理体系审核员》培训证书的，得2分;</w:t>
            </w:r>
          </w:p>
          <w:p>
            <w:pPr>
              <w:rPr>
                <w:rFonts w:hint="eastAsia" w:ascii="宋体" w:hAnsi="宋体" w:eastAsia="宋体" w:cs="Times New Roman"/>
                <w:sz w:val="21"/>
                <w:szCs w:val="21"/>
              </w:rPr>
            </w:pPr>
            <w:r>
              <w:rPr>
                <w:rFonts w:hint="eastAsia" w:ascii="宋体" w:hAnsi="宋体" w:eastAsia="宋体" w:cs="Times New Roman"/>
                <w:sz w:val="21"/>
                <w:szCs w:val="21"/>
              </w:rPr>
              <w:t>4、具有中国网络安全审查技术与认证中心颁发《信息安全管理体系审核员》培训证书的，得2分:</w:t>
            </w:r>
          </w:p>
          <w:p>
            <w:pPr>
              <w:rPr>
                <w:rFonts w:hint="eastAsia" w:ascii="宋体" w:hAnsi="宋体" w:eastAsia="宋体" w:cs="Times New Roman"/>
                <w:sz w:val="21"/>
                <w:szCs w:val="21"/>
              </w:rPr>
            </w:pPr>
            <w:r>
              <w:rPr>
                <w:rFonts w:hint="eastAsia" w:ascii="宋体" w:hAnsi="宋体" w:eastAsia="宋体" w:cs="Times New Roman"/>
                <w:sz w:val="21"/>
                <w:szCs w:val="21"/>
              </w:rPr>
              <w:t>5、具有公安部信息安全等级保护评估中心颁发《重要信息系统保护人员CIIP-A》培训证书的，得2分:</w:t>
            </w:r>
          </w:p>
          <w:p>
            <w:pPr>
              <w:rPr>
                <w:rFonts w:hint="eastAsia"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pacing w:val="0"/>
                <w:sz w:val="21"/>
                <w:szCs w:val="21"/>
              </w:rPr>
              <w:t>具有工业和信息化部教育与考试中心颁发《高级网络信息安全工程师》证书的，得2分</w:t>
            </w:r>
            <w:r>
              <w:rPr>
                <w:rFonts w:hint="eastAsia" w:ascii="宋体" w:hAnsi="宋体" w:eastAsia="宋体" w:cs="Times New Roman"/>
                <w:sz w:val="21"/>
                <w:szCs w:val="21"/>
              </w:rPr>
              <w:t>。</w:t>
            </w:r>
          </w:p>
          <w:p>
            <w:pPr>
              <w:rPr>
                <w:rFonts w:hint="eastAsia" w:ascii="宋体" w:hAnsi="宋体" w:eastAsia="宋体" w:cs="Times New Roman"/>
                <w:sz w:val="21"/>
                <w:szCs w:val="21"/>
              </w:rPr>
            </w:pPr>
            <w:r>
              <w:rPr>
                <w:rFonts w:hint="eastAsia" w:ascii="宋体" w:hAnsi="宋体" w:eastAsia="宋体" w:cs="Times New Roman"/>
                <w:sz w:val="21"/>
                <w:szCs w:val="21"/>
              </w:rPr>
              <w:t>注:需提供人员相关证书复印件及提交响应文件截止前</w:t>
            </w:r>
            <w:r>
              <w:rPr>
                <w:rFonts w:hint="eastAsia" w:ascii="宋体" w:hAnsi="宋体" w:eastAsia="宋体" w:cs="Times New Roman"/>
                <w:sz w:val="21"/>
                <w:szCs w:val="21"/>
                <w:lang w:val="en-US" w:eastAsia="zh-CN"/>
              </w:rPr>
              <w:t>任意一</w:t>
            </w:r>
            <w:r>
              <w:rPr>
                <w:rFonts w:hint="eastAsia" w:ascii="宋体" w:hAnsi="宋体" w:eastAsia="宋体" w:cs="Times New Roman"/>
                <w:sz w:val="21"/>
                <w:szCs w:val="21"/>
              </w:rPr>
              <w:t>个月(不含截止当月)供应商为其缴纳的社保凭证，不提供或提供不全对应分项不得分。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2130" w:type="dxa"/>
            <w:gridSpan w:val="2"/>
            <w:vAlign w:val="center"/>
          </w:tcPr>
          <w:p>
            <w:pPr>
              <w:jc w:val="center"/>
              <w:rPr>
                <w:rFonts w:hint="eastAsia" w:ascii="宋体" w:hAnsi="宋体" w:cs="宋体"/>
                <w:bCs/>
                <w:sz w:val="21"/>
                <w:szCs w:val="21"/>
              </w:rPr>
            </w:pPr>
            <w:r>
              <w:rPr>
                <w:rFonts w:hint="eastAsia" w:ascii="宋体" w:hAnsi="宋体" w:cs="宋体"/>
                <w:bCs/>
                <w:sz w:val="21"/>
                <w:szCs w:val="21"/>
              </w:rPr>
              <w:t>合计</w:t>
            </w:r>
          </w:p>
        </w:tc>
        <w:tc>
          <w:tcPr>
            <w:tcW w:w="675" w:type="dxa"/>
            <w:vAlign w:val="center"/>
          </w:tcPr>
          <w:p>
            <w:pPr>
              <w:pStyle w:val="3"/>
              <w:jc w:val="center"/>
            </w:pPr>
            <w:r>
              <w:rPr>
                <w:rFonts w:hint="eastAsia" w:hAnsi="宋体" w:cs="宋体"/>
                <w:lang w:val="en-US" w:eastAsia="zh-CN"/>
              </w:rPr>
              <w:t>3</w:t>
            </w:r>
            <w:r>
              <w:rPr>
                <w:rFonts w:hint="eastAsia" w:hAnsi="宋体" w:cs="宋体"/>
              </w:rPr>
              <w:t>0分</w:t>
            </w:r>
          </w:p>
        </w:tc>
        <w:tc>
          <w:tcPr>
            <w:tcW w:w="6654" w:type="dxa"/>
            <w:tcMar>
              <w:top w:w="16" w:type="dxa"/>
              <w:left w:w="16" w:type="dxa"/>
              <w:bottom w:w="0" w:type="dxa"/>
              <w:right w:w="16" w:type="dxa"/>
            </w:tcMar>
            <w:vAlign w:val="center"/>
          </w:tcPr>
          <w:p>
            <w:pPr>
              <w:rPr>
                <w:rFonts w:hint="eastAsia" w:ascii="宋体" w:hAnsi="宋体" w:cs="宋体"/>
                <w:bCs/>
                <w:sz w:val="21"/>
                <w:szCs w:val="21"/>
              </w:rPr>
            </w:pPr>
          </w:p>
        </w:tc>
      </w:tr>
    </w:tbl>
    <w:p>
      <w:pPr>
        <w:spacing w:line="460" w:lineRule="exact"/>
        <w:rPr>
          <w:rFonts w:hint="eastAsia" w:ascii="宋体" w:hAnsi="宋体"/>
          <w:szCs w:val="24"/>
        </w:rPr>
      </w:pPr>
      <w:r>
        <w:rPr>
          <w:rFonts w:hint="eastAsia" w:ascii="宋体" w:hAnsi="宋体"/>
          <w:szCs w:val="24"/>
          <w:lang w:val="en-GB"/>
        </w:rPr>
        <w:t>商务</w:t>
      </w:r>
      <w:r>
        <w:rPr>
          <w:rFonts w:hint="eastAsia" w:ascii="宋体" w:hAnsi="宋体"/>
          <w:szCs w:val="24"/>
        </w:rPr>
        <w:t>部分计算公式如下：</w:t>
      </w:r>
    </w:p>
    <w:p>
      <w:pPr>
        <w:spacing w:line="460" w:lineRule="exact"/>
        <w:ind w:firstLine="420" w:firstLineChars="200"/>
        <w:rPr>
          <w:rFonts w:hint="eastAsia" w:ascii="宋体" w:hAnsi="宋体"/>
          <w:szCs w:val="24"/>
        </w:rPr>
      </w:pPr>
      <w:r>
        <w:rPr>
          <w:rFonts w:hint="eastAsia" w:ascii="宋体" w:hAnsi="宋体"/>
          <w:szCs w:val="24"/>
        </w:rPr>
        <w:t>子项</w:t>
      </w:r>
      <w:r>
        <w:rPr>
          <w:rFonts w:hint="eastAsia" w:ascii="宋体" w:hAnsi="宋体"/>
          <w:szCs w:val="24"/>
          <w:lang w:val="en-GB"/>
        </w:rPr>
        <w:t>商务</w:t>
      </w:r>
      <w:r>
        <w:rPr>
          <w:rFonts w:hint="eastAsia" w:ascii="宋体" w:hAnsi="宋体"/>
          <w:szCs w:val="24"/>
        </w:rPr>
        <w:t>评分=（各评委子项评分总和）</w:t>
      </w:r>
      <w:r>
        <w:rPr>
          <w:rFonts w:ascii="宋体" w:hAnsi="宋体"/>
          <w:szCs w:val="24"/>
          <w:lang w:val="en-GB"/>
        </w:rPr>
        <w:t>÷评委人数</w:t>
      </w:r>
      <w:r>
        <w:rPr>
          <w:rFonts w:hint="eastAsia" w:ascii="宋体" w:hAnsi="宋体"/>
          <w:szCs w:val="24"/>
          <w:lang w:val="en-GB"/>
        </w:rPr>
        <w:t xml:space="preserve"> </w:t>
      </w:r>
    </w:p>
    <w:p>
      <w:pPr>
        <w:spacing w:line="460" w:lineRule="exact"/>
        <w:ind w:firstLine="420" w:firstLineChars="200"/>
        <w:rPr>
          <w:rFonts w:hint="eastAsia"/>
        </w:rPr>
      </w:pPr>
      <w:r>
        <w:rPr>
          <w:rFonts w:hint="eastAsia" w:ascii="宋体" w:hAnsi="宋体"/>
          <w:szCs w:val="24"/>
          <w:lang w:val="en-GB"/>
        </w:rPr>
        <w:t>商务</w:t>
      </w:r>
      <w:r>
        <w:rPr>
          <w:rFonts w:hint="eastAsia" w:ascii="宋体" w:hAnsi="宋体"/>
          <w:szCs w:val="24"/>
        </w:rPr>
        <w:t>得分=各子项</w:t>
      </w:r>
      <w:r>
        <w:rPr>
          <w:rFonts w:hint="eastAsia" w:ascii="宋体" w:hAnsi="宋体"/>
          <w:szCs w:val="24"/>
          <w:lang w:val="en-GB"/>
        </w:rPr>
        <w:t>商务</w:t>
      </w:r>
      <w:r>
        <w:rPr>
          <w:rFonts w:hint="eastAsia" w:ascii="宋体" w:hAnsi="宋体"/>
          <w:szCs w:val="24"/>
        </w:rPr>
        <w:t>评分的总和</w:t>
      </w:r>
    </w:p>
    <w:p>
      <w:pPr>
        <w:numPr>
          <w:ilvl w:val="0"/>
          <w:numId w:val="2"/>
        </w:numPr>
        <w:tabs>
          <w:tab w:val="left" w:pos="510"/>
          <w:tab w:val="left" w:pos="540"/>
        </w:tabs>
        <w:snapToGrid w:val="0"/>
        <w:spacing w:line="460" w:lineRule="exact"/>
        <w:rPr>
          <w:rFonts w:hint="eastAsia" w:ascii="宋体" w:hAnsi="宋体"/>
          <w:szCs w:val="24"/>
          <w:lang w:val="en-GB"/>
        </w:rPr>
      </w:pPr>
      <w:r>
        <w:rPr>
          <w:rFonts w:hint="eastAsia" w:ascii="宋体" w:hAnsi="宋体"/>
          <w:szCs w:val="24"/>
          <w:lang w:val="en-GB"/>
        </w:rPr>
        <w:t>价格部分（权重</w:t>
      </w:r>
      <w:r>
        <w:rPr>
          <w:rFonts w:hint="eastAsia" w:ascii="宋体" w:hAnsi="宋体"/>
          <w:szCs w:val="24"/>
          <w:lang w:val="en-US" w:eastAsia="zh-CN"/>
        </w:rPr>
        <w:t>3</w:t>
      </w:r>
      <w:r>
        <w:rPr>
          <w:rFonts w:hint="eastAsia" w:ascii="宋体" w:hAnsi="宋体"/>
          <w:szCs w:val="24"/>
          <w:lang w:val="en-GB"/>
        </w:rPr>
        <w:t>0%)</w:t>
      </w:r>
    </w:p>
    <w:p>
      <w:pPr>
        <w:tabs>
          <w:tab w:val="left" w:pos="510"/>
          <w:tab w:val="left" w:pos="540"/>
        </w:tabs>
        <w:spacing w:line="500" w:lineRule="exact"/>
        <w:ind w:firstLine="420" w:firstLineChars="200"/>
        <w:rPr>
          <w:rFonts w:hint="eastAsia" w:ascii="宋体" w:hAnsi="宋体"/>
          <w:szCs w:val="24"/>
          <w:lang w:val="en-GB"/>
        </w:rPr>
      </w:pPr>
      <w:r>
        <w:rPr>
          <w:rFonts w:hint="eastAsia" w:ascii="宋体" w:hAnsi="宋体"/>
          <w:szCs w:val="24"/>
          <w:lang w:val="en-GB"/>
        </w:rPr>
        <w:t>综合评分法中的价格分统一采用低价优先计算，经评标委员会审核，满足要求，最终报价最低的供应商的价格为磋商基准价，其价格分为满分。其他供应商的价格分统一按下列公式折算递减。</w:t>
      </w:r>
    </w:p>
    <w:p>
      <w:pPr>
        <w:tabs>
          <w:tab w:val="left" w:pos="540"/>
        </w:tabs>
        <w:snapToGrid w:val="0"/>
        <w:spacing w:line="500" w:lineRule="exact"/>
        <w:ind w:left="510"/>
        <w:rPr>
          <w:rFonts w:hint="eastAsia" w:ascii="宋体" w:hAnsi="宋体"/>
          <w:szCs w:val="24"/>
          <w:lang w:val="en-GB"/>
        </w:rPr>
      </w:pPr>
      <w:r>
        <w:rPr>
          <w:rFonts w:hint="eastAsia" w:ascii="宋体" w:hAnsi="宋体"/>
          <w:szCs w:val="24"/>
          <w:lang w:val="en-GB"/>
        </w:rPr>
        <w:t>即：磋商</w:t>
      </w:r>
      <w:r>
        <w:rPr>
          <w:rFonts w:hint="eastAsia" w:ascii="宋体" w:hAnsi="宋体"/>
          <w:szCs w:val="24"/>
        </w:rPr>
        <w:t>报价得分</w:t>
      </w:r>
      <w:r>
        <w:rPr>
          <w:rFonts w:ascii="宋体" w:hAnsi="宋体"/>
          <w:szCs w:val="24"/>
        </w:rPr>
        <w:t>=</w:t>
      </w:r>
      <w:r>
        <w:rPr>
          <w:rFonts w:hint="eastAsia" w:ascii="宋体" w:hAnsi="宋体"/>
          <w:szCs w:val="24"/>
        </w:rPr>
        <w:t>（</w:t>
      </w:r>
      <w:r>
        <w:rPr>
          <w:rFonts w:hint="eastAsia" w:ascii="宋体" w:hAnsi="宋体"/>
          <w:szCs w:val="24"/>
          <w:lang w:val="en-GB"/>
        </w:rPr>
        <w:t>磋商</w:t>
      </w:r>
      <w:r>
        <w:rPr>
          <w:rFonts w:hint="eastAsia" w:ascii="宋体" w:hAnsi="宋体"/>
          <w:szCs w:val="24"/>
        </w:rPr>
        <w:t>基准价</w:t>
      </w:r>
      <w:r>
        <w:rPr>
          <w:rFonts w:ascii="宋体" w:hAnsi="宋体"/>
          <w:szCs w:val="24"/>
        </w:rPr>
        <w:t>/</w:t>
      </w:r>
      <w:r>
        <w:rPr>
          <w:rFonts w:hint="eastAsia" w:ascii="宋体" w:hAnsi="宋体"/>
          <w:szCs w:val="24"/>
        </w:rPr>
        <w:t>最终磋商报价（修正后））×</w:t>
      </w:r>
      <w:r>
        <w:rPr>
          <w:rFonts w:hint="eastAsia" w:ascii="宋体" w:hAnsi="宋体"/>
          <w:szCs w:val="24"/>
          <w:lang w:val="en-GB"/>
        </w:rPr>
        <w:t>价格权重</w:t>
      </w:r>
      <w:r>
        <w:rPr>
          <w:rFonts w:hint="eastAsia" w:ascii="宋体" w:hAnsi="宋体"/>
          <w:szCs w:val="24"/>
        </w:rPr>
        <w:t>×100</w:t>
      </w:r>
    </w:p>
    <w:p>
      <w:pPr>
        <w:tabs>
          <w:tab w:val="left" w:pos="540"/>
        </w:tabs>
        <w:snapToGrid w:val="0"/>
        <w:spacing w:line="500" w:lineRule="exact"/>
        <w:ind w:left="510"/>
        <w:rPr>
          <w:rFonts w:hint="eastAsia" w:ascii="宋体" w:hAnsi="宋体"/>
          <w:szCs w:val="24"/>
          <w:lang w:val="en-GB"/>
        </w:rPr>
      </w:pPr>
      <w:r>
        <w:rPr>
          <w:rFonts w:hint="eastAsia" w:ascii="宋体" w:hAnsi="宋体"/>
          <w:szCs w:val="24"/>
          <w:lang w:val="en-GB"/>
        </w:rPr>
        <w:t>（评标基准价、得分均精确到两位小数）</w:t>
      </w:r>
    </w:p>
    <w:p>
      <w:pPr>
        <w:numPr>
          <w:ilvl w:val="0"/>
          <w:numId w:val="5"/>
        </w:numPr>
        <w:tabs>
          <w:tab w:val="left" w:pos="540"/>
        </w:tabs>
        <w:snapToGrid w:val="0"/>
        <w:spacing w:line="500" w:lineRule="exact"/>
        <w:rPr>
          <w:rFonts w:hint="eastAsia" w:ascii="宋体" w:hAnsi="宋体"/>
          <w:b/>
          <w:szCs w:val="24"/>
          <w:lang w:val="en-GB"/>
        </w:rPr>
      </w:pPr>
      <w:r>
        <w:rPr>
          <w:rFonts w:hint="eastAsia" w:ascii="宋体" w:hAnsi="宋体"/>
          <w:b/>
          <w:szCs w:val="24"/>
          <w:lang w:val="en-GB"/>
        </w:rPr>
        <w:t>评分汇总</w:t>
      </w:r>
    </w:p>
    <w:p>
      <w:pPr>
        <w:tabs>
          <w:tab w:val="left" w:pos="540"/>
        </w:tabs>
        <w:spacing w:line="500" w:lineRule="exact"/>
        <w:ind w:left="510"/>
        <w:rPr>
          <w:rFonts w:hint="eastAsia" w:ascii="宋体" w:hAnsi="宋体"/>
          <w:szCs w:val="24"/>
        </w:rPr>
      </w:pPr>
      <w:r>
        <w:rPr>
          <w:rFonts w:hint="eastAsia" w:ascii="宋体" w:hAnsi="宋体"/>
          <w:szCs w:val="24"/>
          <w:lang w:val="en-US" w:eastAsia="zh-CN"/>
        </w:rPr>
        <w:t>技术</w:t>
      </w:r>
      <w:r>
        <w:rPr>
          <w:rFonts w:hint="eastAsia" w:ascii="宋体" w:hAnsi="宋体"/>
          <w:szCs w:val="24"/>
          <w:lang w:val="en-GB"/>
        </w:rPr>
        <w:t>部分得</w:t>
      </w:r>
      <w:r>
        <w:rPr>
          <w:rFonts w:ascii="宋体" w:hAnsi="宋体"/>
          <w:szCs w:val="24"/>
          <w:lang w:val="en-GB"/>
        </w:rPr>
        <w:t>分</w:t>
      </w:r>
      <w:r>
        <w:rPr>
          <w:rFonts w:hint="eastAsia" w:ascii="宋体" w:hAnsi="宋体"/>
          <w:szCs w:val="24"/>
          <w:lang w:val="en-GB"/>
        </w:rPr>
        <w:t xml:space="preserve"> </w:t>
      </w:r>
      <w:r>
        <w:rPr>
          <w:rFonts w:ascii="宋体" w:hAnsi="宋体"/>
          <w:szCs w:val="24"/>
          <w:lang w:val="en-GB"/>
        </w:rPr>
        <w:t>＝</w:t>
      </w:r>
      <w:r>
        <w:rPr>
          <w:rFonts w:hint="eastAsia" w:ascii="宋体" w:hAnsi="宋体"/>
          <w:szCs w:val="24"/>
        </w:rPr>
        <w:t xml:space="preserve"> 各子项技术评分的总和</w:t>
      </w:r>
    </w:p>
    <w:p>
      <w:pPr>
        <w:tabs>
          <w:tab w:val="left" w:pos="540"/>
        </w:tabs>
        <w:spacing w:line="500" w:lineRule="exact"/>
        <w:ind w:left="510"/>
        <w:rPr>
          <w:rFonts w:hint="eastAsia" w:ascii="宋体" w:hAnsi="宋体"/>
          <w:szCs w:val="24"/>
        </w:rPr>
      </w:pPr>
      <w:r>
        <w:rPr>
          <w:rFonts w:hint="eastAsia" w:ascii="宋体" w:hAnsi="宋体"/>
          <w:szCs w:val="24"/>
          <w:lang w:val="en-GB"/>
        </w:rPr>
        <w:t>商务部分得</w:t>
      </w:r>
      <w:r>
        <w:rPr>
          <w:rFonts w:ascii="宋体" w:hAnsi="宋体"/>
          <w:szCs w:val="24"/>
          <w:lang w:val="en-GB"/>
        </w:rPr>
        <w:t>分</w:t>
      </w:r>
      <w:r>
        <w:rPr>
          <w:rFonts w:hint="eastAsia" w:ascii="宋体" w:hAnsi="宋体"/>
          <w:szCs w:val="24"/>
          <w:lang w:val="en-GB"/>
        </w:rPr>
        <w:t xml:space="preserve"> </w:t>
      </w:r>
      <w:r>
        <w:rPr>
          <w:rFonts w:ascii="宋体" w:hAnsi="宋体"/>
          <w:szCs w:val="24"/>
          <w:lang w:val="en-GB"/>
        </w:rPr>
        <w:t>＝</w:t>
      </w:r>
      <w:r>
        <w:rPr>
          <w:rFonts w:hint="eastAsia" w:ascii="宋体" w:hAnsi="宋体"/>
          <w:szCs w:val="24"/>
        </w:rPr>
        <w:t xml:space="preserve"> 各子项</w:t>
      </w:r>
      <w:r>
        <w:rPr>
          <w:rFonts w:hint="eastAsia" w:ascii="宋体" w:hAnsi="宋体"/>
          <w:szCs w:val="24"/>
          <w:lang w:val="en-GB"/>
        </w:rPr>
        <w:t>商务</w:t>
      </w:r>
      <w:r>
        <w:rPr>
          <w:rFonts w:hint="eastAsia" w:ascii="宋体" w:hAnsi="宋体"/>
          <w:szCs w:val="24"/>
        </w:rPr>
        <w:t>评分的总和</w:t>
      </w:r>
    </w:p>
    <w:p>
      <w:pPr>
        <w:tabs>
          <w:tab w:val="left" w:pos="540"/>
        </w:tabs>
        <w:spacing w:line="500" w:lineRule="exact"/>
        <w:ind w:left="510"/>
        <w:rPr>
          <w:rFonts w:hint="eastAsia" w:ascii="宋体" w:hAnsi="宋体"/>
          <w:szCs w:val="24"/>
          <w:lang w:val="en-GB"/>
        </w:rPr>
      </w:pPr>
      <w:r>
        <w:rPr>
          <w:rFonts w:ascii="宋体" w:hAnsi="宋体"/>
          <w:szCs w:val="24"/>
          <w:lang w:val="en-GB"/>
        </w:rPr>
        <w:t>价格</w:t>
      </w:r>
      <w:r>
        <w:rPr>
          <w:rFonts w:hint="eastAsia" w:ascii="宋体" w:hAnsi="宋体"/>
          <w:szCs w:val="24"/>
          <w:lang w:val="en-GB"/>
        </w:rPr>
        <w:t>部分得</w:t>
      </w:r>
      <w:r>
        <w:rPr>
          <w:rFonts w:ascii="宋体" w:hAnsi="宋体"/>
          <w:szCs w:val="24"/>
          <w:lang w:val="en-GB"/>
        </w:rPr>
        <w:t>分</w:t>
      </w:r>
      <w:r>
        <w:rPr>
          <w:rFonts w:hint="eastAsia" w:ascii="宋体" w:hAnsi="宋体"/>
          <w:szCs w:val="24"/>
          <w:lang w:val="en-GB"/>
        </w:rPr>
        <w:t xml:space="preserve"> </w:t>
      </w:r>
      <w:r>
        <w:rPr>
          <w:rFonts w:ascii="宋体" w:hAnsi="宋体"/>
          <w:szCs w:val="24"/>
          <w:lang w:val="en-GB"/>
        </w:rPr>
        <w:t>＝ 统一公式计算得分</w:t>
      </w:r>
    </w:p>
    <w:p>
      <w:pPr>
        <w:tabs>
          <w:tab w:val="left" w:pos="540"/>
        </w:tabs>
        <w:spacing w:line="500" w:lineRule="exact"/>
        <w:ind w:left="510"/>
        <w:rPr>
          <w:rFonts w:hint="eastAsia" w:ascii="宋体" w:hAnsi="宋体"/>
          <w:szCs w:val="24"/>
          <w:lang w:val="en-GB"/>
        </w:rPr>
      </w:pPr>
      <w:r>
        <w:rPr>
          <w:rFonts w:hint="eastAsia" w:ascii="宋体" w:hAnsi="宋体"/>
          <w:szCs w:val="24"/>
          <w:lang w:val="en-GB"/>
        </w:rPr>
        <w:t xml:space="preserve">评标总得分 </w:t>
      </w:r>
      <w:r>
        <w:rPr>
          <w:rFonts w:ascii="宋体" w:hAnsi="宋体"/>
          <w:szCs w:val="24"/>
          <w:lang w:val="en-GB"/>
        </w:rPr>
        <w:t>＝</w:t>
      </w:r>
      <w:r>
        <w:rPr>
          <w:rFonts w:hint="eastAsia" w:ascii="宋体" w:hAnsi="宋体"/>
          <w:szCs w:val="24"/>
          <w:lang w:val="en-GB"/>
        </w:rPr>
        <w:t>技术</w:t>
      </w:r>
      <w:r>
        <w:rPr>
          <w:rFonts w:hint="eastAsia" w:ascii="宋体" w:hAnsi="宋体"/>
        </w:rPr>
        <w:t>得分+</w:t>
      </w:r>
      <w:r>
        <w:rPr>
          <w:rFonts w:hint="eastAsia" w:ascii="宋体" w:hAnsi="宋体"/>
          <w:szCs w:val="24"/>
          <w:lang w:val="en-GB"/>
        </w:rPr>
        <w:t>商务</w:t>
      </w:r>
      <w:r>
        <w:rPr>
          <w:rFonts w:hint="eastAsia" w:ascii="宋体" w:hAnsi="宋体"/>
        </w:rPr>
        <w:t>得分+价格得分</w:t>
      </w:r>
    </w:p>
    <w:p>
      <w:pPr>
        <w:tabs>
          <w:tab w:val="left" w:pos="540"/>
        </w:tabs>
        <w:spacing w:line="500" w:lineRule="exact"/>
        <w:ind w:left="510"/>
        <w:rPr>
          <w:rFonts w:hint="eastAsia" w:ascii="宋体" w:hAnsi="宋体"/>
          <w:szCs w:val="24"/>
        </w:rPr>
      </w:pPr>
      <w:r>
        <w:rPr>
          <w:rFonts w:hint="eastAsia" w:ascii="宋体" w:hAnsi="宋体"/>
          <w:szCs w:val="24"/>
        </w:rPr>
        <w:t>技术得分满分为</w:t>
      </w:r>
      <w:r>
        <w:rPr>
          <w:rFonts w:hint="eastAsia" w:ascii="宋体" w:hAnsi="宋体"/>
          <w:szCs w:val="24"/>
          <w:lang w:val="en-US" w:eastAsia="zh-CN"/>
        </w:rPr>
        <w:t>4</w:t>
      </w:r>
      <w:r>
        <w:rPr>
          <w:rFonts w:hint="eastAsia" w:ascii="宋体" w:hAnsi="宋体"/>
          <w:szCs w:val="24"/>
        </w:rPr>
        <w:t>0分，</w:t>
      </w:r>
      <w:r>
        <w:rPr>
          <w:rFonts w:hint="eastAsia" w:ascii="宋体" w:hAnsi="宋体"/>
          <w:szCs w:val="24"/>
          <w:lang w:val="en-GB"/>
        </w:rPr>
        <w:t>商务</w:t>
      </w:r>
      <w:r>
        <w:rPr>
          <w:rFonts w:hint="eastAsia" w:ascii="宋体" w:hAnsi="宋体"/>
          <w:szCs w:val="24"/>
        </w:rPr>
        <w:t>得分满分为</w:t>
      </w:r>
      <w:r>
        <w:rPr>
          <w:rFonts w:hint="eastAsia" w:ascii="宋体" w:hAnsi="宋体"/>
          <w:szCs w:val="24"/>
          <w:lang w:val="en-US" w:eastAsia="zh-CN"/>
        </w:rPr>
        <w:t>30</w:t>
      </w:r>
      <w:r>
        <w:rPr>
          <w:rFonts w:hint="eastAsia" w:ascii="宋体" w:hAnsi="宋体"/>
          <w:szCs w:val="24"/>
        </w:rPr>
        <w:t>分，价格得分满分为</w:t>
      </w:r>
      <w:r>
        <w:rPr>
          <w:rFonts w:hint="eastAsia" w:ascii="宋体" w:hAnsi="宋体"/>
          <w:szCs w:val="24"/>
          <w:lang w:val="en-US" w:eastAsia="zh-CN"/>
        </w:rPr>
        <w:t>30</w:t>
      </w:r>
      <w:r>
        <w:rPr>
          <w:rFonts w:hint="eastAsia" w:ascii="宋体" w:hAnsi="宋体"/>
          <w:szCs w:val="24"/>
        </w:rPr>
        <w:t>分。</w:t>
      </w:r>
    </w:p>
    <w:p>
      <w:pPr>
        <w:tabs>
          <w:tab w:val="left" w:pos="540"/>
        </w:tabs>
        <w:spacing w:line="500" w:lineRule="exact"/>
        <w:ind w:left="510"/>
        <w:rPr>
          <w:rFonts w:hint="eastAsia" w:ascii="宋体" w:hAnsi="宋体"/>
          <w:spacing w:val="-2"/>
          <w:szCs w:val="24"/>
          <w:lang w:val="en-GB"/>
        </w:rPr>
      </w:pPr>
      <w:r>
        <w:rPr>
          <w:rFonts w:hint="eastAsia" w:ascii="宋体" w:hAnsi="宋体"/>
          <w:spacing w:val="-2"/>
          <w:szCs w:val="24"/>
          <w:lang w:val="en-GB"/>
        </w:rPr>
        <w:t>（汇总计算时将按四舍五入的原则精确至小数点后两位）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044A76"/>
    <w:multiLevelType w:val="singleLevel"/>
    <w:tmpl w:val="92044A76"/>
    <w:lvl w:ilvl="0" w:tentative="0">
      <w:start w:val="1"/>
      <w:numFmt w:val="decimal"/>
      <w:lvlText w:val="%1."/>
      <w:lvlJc w:val="left"/>
      <w:pPr>
        <w:tabs>
          <w:tab w:val="left" w:pos="312"/>
        </w:tabs>
      </w:pPr>
    </w:lvl>
  </w:abstractNum>
  <w:abstractNum w:abstractNumId="1">
    <w:nsid w:val="E1F00355"/>
    <w:multiLevelType w:val="singleLevel"/>
    <w:tmpl w:val="E1F00355"/>
    <w:lvl w:ilvl="0" w:tentative="0">
      <w:start w:val="1"/>
      <w:numFmt w:val="decimal"/>
      <w:lvlText w:val="%1."/>
      <w:lvlJc w:val="left"/>
      <w:pPr>
        <w:tabs>
          <w:tab w:val="left" w:pos="312"/>
        </w:tabs>
      </w:pPr>
    </w:lvl>
  </w:abstractNum>
  <w:abstractNum w:abstractNumId="2">
    <w:nsid w:val="00000013"/>
    <w:multiLevelType w:val="multilevel"/>
    <w:tmpl w:val="00000013"/>
    <w:lvl w:ilvl="0" w:tentative="0">
      <w:start w:val="1"/>
      <w:numFmt w:val="decimal"/>
      <w:lvlText w:val="5.%1."/>
      <w:lvlJc w:val="left"/>
      <w:pPr>
        <w:tabs>
          <w:tab w:val="left" w:pos="510"/>
        </w:tabs>
        <w:ind w:left="510" w:hanging="510"/>
      </w:pPr>
      <w:rPr>
        <w:rFonts w:hint="default"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D8A3E05"/>
    <w:multiLevelType w:val="multilevel"/>
    <w:tmpl w:val="2D8A3E05"/>
    <w:lvl w:ilvl="0" w:tentative="0">
      <w:start w:val="1"/>
      <w:numFmt w:val="decimal"/>
      <w:lvlText w:val="%1．"/>
      <w:lvlJc w:val="left"/>
      <w:rPr>
        <w:rFonts w:hint="default" w:cs="Times New Roman"/>
        <w:spacing w:val="-20"/>
        <w:kern w:val="2"/>
        <w:position w:val="0"/>
      </w:rPr>
    </w:lvl>
    <w:lvl w:ilvl="1" w:tentative="0">
      <w:start w:val="2"/>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4">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46BD5"/>
    <w:rsid w:val="18B46B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numPr>
        <w:ilvl w:val="0"/>
        <w:numId w:val="1"/>
      </w:numPr>
      <w:tabs>
        <w:tab w:val="clear" w:pos="839"/>
      </w:tabs>
      <w:spacing w:after="120"/>
      <w:ind w:left="0" w:firstLine="0"/>
    </w:pPr>
  </w:style>
  <w:style w:type="paragraph" w:styleId="3">
    <w:name w:val="Plain Text"/>
    <w:basedOn w:val="1"/>
    <w:next w:val="4"/>
    <w:uiPriority w:val="0"/>
    <w:rPr>
      <w:rFonts w:ascii="宋体" w:hAnsi="Courier New" w:cs="Courier New"/>
      <w:szCs w:val="21"/>
    </w:rPr>
  </w:style>
  <w:style w:type="paragraph" w:customStyle="1" w:styleId="4">
    <w:name w:val="Default"/>
    <w:unhideWhenUsed/>
    <w:qFormat/>
    <w:uiPriority w:val="0"/>
    <w:pPr>
      <w:widowControl w:val="0"/>
      <w:autoSpaceDE w:val="0"/>
      <w:autoSpaceDN w:val="0"/>
      <w:adjustRightInd w:val="0"/>
      <w:spacing w:beforeLines="0" w:afterLines="0"/>
    </w:pPr>
    <w:rPr>
      <w:rFonts w:hint="eastAsia" w:ascii="Times New Roman" w:hAnsi="Times New Roman" w:eastAsia="Times New Roman" w:cs="Times New Roman"/>
      <w:color w:val="000000"/>
      <w:sz w:val="24"/>
      <w:szCs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2026-05-29T07:02:00Z</dcterms:created>
  <dc:creator>Administrator</dc:creator>
  <cp:lastModifiedBy>Administrator</cp:lastModifiedBy>
  <dcterms:modified xsi:type="dcterms:W3CDTF">2026-05-29T07:02:53Z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