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60" w:lineRule="exact"/>
        <w:ind w:leftChars="0"/>
        <w:rPr>
          <w:rFonts w:hint="eastAsia" w:ascii="宋体" w:hAnsi="宋体"/>
          <w:b/>
          <w:color w:val="000000" w:themeColor="text1"/>
          <w:szCs w:val="24"/>
          <w:highlight w:val="none"/>
          <w:lang w:val="en-US" w:eastAsia="zh-CN"/>
          <w14:textFill>
            <w14:solidFill>
              <w14:schemeClr w14:val="tx1"/>
            </w14:solidFill>
          </w14:textFill>
        </w:rPr>
      </w:pPr>
      <w:r>
        <w:rPr>
          <w:rFonts w:hint="eastAsia" w:ascii="宋体" w:hAnsi="宋体"/>
          <w:b/>
          <w:color w:val="000000" w:themeColor="text1"/>
          <w:szCs w:val="24"/>
          <w:highlight w:val="none"/>
          <w:lang w:val="en-US" w:eastAsia="zh-CN"/>
          <w14:textFill>
            <w14:solidFill>
              <w14:schemeClr w14:val="tx1"/>
            </w14:solidFill>
          </w14:textFill>
        </w:rPr>
        <w:t>附件：</w:t>
      </w:r>
    </w:p>
    <w:p>
      <w:pPr>
        <w:numPr>
          <w:ilvl w:val="0"/>
          <w:numId w:val="0"/>
        </w:numPr>
        <w:spacing w:line="460" w:lineRule="exact"/>
        <w:ind w:leftChars="0"/>
        <w:jc w:val="center"/>
        <w:rPr>
          <w:rFonts w:hint="eastAsia" w:ascii="宋体" w:hAnsi="宋体" w:eastAsia="宋体"/>
          <w:b/>
          <w:color w:val="000000" w:themeColor="text1"/>
          <w:sz w:val="32"/>
          <w:szCs w:val="32"/>
          <w:highlight w:val="none"/>
          <w:lang w:val="en-US" w:eastAsia="zh-CN"/>
          <w14:textFill>
            <w14:solidFill>
              <w14:schemeClr w14:val="tx1"/>
            </w14:solidFill>
          </w14:textFill>
        </w:rPr>
      </w:pPr>
      <w:r>
        <w:rPr>
          <w:rFonts w:hint="eastAsia" w:ascii="宋体" w:hAnsi="宋体"/>
          <w:b/>
          <w:color w:val="000000" w:themeColor="text1"/>
          <w:sz w:val="32"/>
          <w:szCs w:val="32"/>
          <w:highlight w:val="none"/>
          <w:lang w:val="en-US" w:eastAsia="zh-CN"/>
          <w14:textFill>
            <w14:solidFill>
              <w14:schemeClr w14:val="tx1"/>
            </w14:solidFill>
          </w14:textFill>
        </w:rPr>
        <w:t>评分标准</w:t>
      </w:r>
    </w:p>
    <w:tbl>
      <w:tblPr>
        <w:tblStyle w:val="8"/>
        <w:tblpPr w:leftFromText="180" w:rightFromText="180" w:vertAnchor="text" w:horzAnchor="page" w:tblpX="1275" w:tblpY="455"/>
        <w:tblOverlap w:val="never"/>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77"/>
        <w:gridCol w:w="2378"/>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评分项目</w:t>
            </w:r>
          </w:p>
        </w:tc>
        <w:tc>
          <w:tcPr>
            <w:tcW w:w="2377"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Cs w:val="24"/>
                <w:lang w:val="en-US" w:eastAsia="zh-CN"/>
                <w14:textFill>
                  <w14:solidFill>
                    <w14:schemeClr w14:val="tx1"/>
                  </w14:solidFill>
                </w14:textFill>
              </w:rPr>
              <w:t>技术</w:t>
            </w:r>
            <w:r>
              <w:rPr>
                <w:rFonts w:hint="eastAsia" w:ascii="宋体" w:hAnsi="宋体"/>
                <w:color w:val="000000" w:themeColor="text1"/>
                <w:sz w:val="21"/>
                <w:szCs w:val="21"/>
                <w14:textFill>
                  <w14:solidFill>
                    <w14:schemeClr w14:val="tx1"/>
                  </w14:solidFill>
                </w14:textFill>
              </w:rPr>
              <w:t>部分</w:t>
            </w:r>
          </w:p>
        </w:tc>
        <w:tc>
          <w:tcPr>
            <w:tcW w:w="2378"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商务部分</w:t>
            </w:r>
          </w:p>
        </w:tc>
        <w:tc>
          <w:tcPr>
            <w:tcW w:w="2276"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权重</w:t>
            </w:r>
          </w:p>
        </w:tc>
        <w:tc>
          <w:tcPr>
            <w:tcW w:w="2377" w:type="dxa"/>
            <w:vAlign w:val="center"/>
          </w:tcPr>
          <w:p>
            <w:pPr>
              <w:pStyle w:val="4"/>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w:t>
            </w:r>
          </w:p>
        </w:tc>
        <w:tc>
          <w:tcPr>
            <w:tcW w:w="2378" w:type="dxa"/>
            <w:vAlign w:val="center"/>
          </w:tcPr>
          <w:p>
            <w:pPr>
              <w:pStyle w:val="4"/>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w:t>
            </w:r>
          </w:p>
        </w:tc>
        <w:tc>
          <w:tcPr>
            <w:tcW w:w="2276"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分值</w:t>
            </w:r>
          </w:p>
        </w:tc>
        <w:tc>
          <w:tcPr>
            <w:tcW w:w="2377" w:type="dxa"/>
            <w:vAlign w:val="center"/>
          </w:tcPr>
          <w:p>
            <w:pPr>
              <w:pStyle w:val="4"/>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2378" w:type="dxa"/>
            <w:vAlign w:val="center"/>
          </w:tcPr>
          <w:p>
            <w:pPr>
              <w:pStyle w:val="4"/>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2276" w:type="dxa"/>
            <w:vAlign w:val="center"/>
          </w:tcPr>
          <w:p>
            <w:pPr>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0分</w:t>
            </w:r>
          </w:p>
        </w:tc>
      </w:tr>
    </w:tbl>
    <w:p>
      <w:pPr>
        <w:numPr>
          <w:ilvl w:val="0"/>
          <w:numId w:val="2"/>
        </w:numPr>
        <w:tabs>
          <w:tab w:val="left" w:pos="510"/>
          <w:tab w:val="left" w:pos="540"/>
        </w:tabs>
        <w:snapToGrid w:val="0"/>
        <w:spacing w:line="460" w:lineRule="exact"/>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 xml:space="preserve">权重分配（权重 100%） </w:t>
      </w:r>
    </w:p>
    <w:p>
      <w:pPr>
        <w:pStyle w:val="2"/>
        <w:numPr>
          <w:numId w:val="0"/>
        </w:numPr>
        <w:ind w:leftChars="0"/>
        <w:rPr>
          <w:rFonts w:hint="eastAsia" w:ascii="宋体" w:hAnsi="宋体"/>
          <w:color w:val="000000" w:themeColor="text1"/>
          <w:szCs w:val="24"/>
          <w:lang w:val="en-GB"/>
          <w14:textFill>
            <w14:solidFill>
              <w14:schemeClr w14:val="tx1"/>
            </w14:solidFill>
          </w14:textFill>
        </w:rPr>
      </w:pPr>
    </w:p>
    <w:p>
      <w:pPr>
        <w:rPr>
          <w:rFonts w:hint="eastAsia"/>
          <w:color w:val="000000" w:themeColor="text1"/>
          <w:lang w:val="en-GB"/>
          <w14:textFill>
            <w14:solidFill>
              <w14:schemeClr w14:val="tx1"/>
            </w14:solidFill>
          </w14:textFill>
        </w:rPr>
      </w:pPr>
    </w:p>
    <w:p>
      <w:pPr>
        <w:numPr>
          <w:ilvl w:val="0"/>
          <w:numId w:val="2"/>
        </w:numPr>
        <w:tabs>
          <w:tab w:val="left" w:pos="510"/>
          <w:tab w:val="left" w:pos="540"/>
        </w:tabs>
        <w:snapToGrid w:val="0"/>
        <w:spacing w:line="500" w:lineRule="exact"/>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US" w:eastAsia="zh-CN"/>
          <w14:textFill>
            <w14:solidFill>
              <w14:schemeClr w14:val="tx1"/>
            </w14:solidFill>
          </w14:textFill>
        </w:rPr>
        <w:t>技术</w:t>
      </w:r>
      <w:r>
        <w:rPr>
          <w:rFonts w:hint="eastAsia" w:ascii="宋体" w:hAnsi="宋体"/>
          <w:color w:val="000000" w:themeColor="text1"/>
          <w:szCs w:val="24"/>
          <w:lang w:val="en-GB"/>
          <w14:textFill>
            <w14:solidFill>
              <w14:schemeClr w14:val="tx1"/>
            </w14:solidFill>
          </w14:textFill>
        </w:rPr>
        <w:t>部分评审标准（权重</w:t>
      </w:r>
      <w:r>
        <w:rPr>
          <w:rFonts w:hint="eastAsia" w:ascii="宋体" w:hAnsi="宋体"/>
          <w:color w:val="000000" w:themeColor="text1"/>
          <w:szCs w:val="24"/>
          <w:lang w:val="en-US" w:eastAsia="zh-CN"/>
          <w14:textFill>
            <w14:solidFill>
              <w14:schemeClr w14:val="tx1"/>
            </w14:solidFill>
          </w14:textFill>
        </w:rPr>
        <w:t>4</w:t>
      </w:r>
      <w:r>
        <w:rPr>
          <w:rFonts w:hint="eastAsia" w:ascii="宋体" w:hAnsi="宋体"/>
          <w:color w:val="000000" w:themeColor="text1"/>
          <w:szCs w:val="24"/>
          <w14:textFill>
            <w14:solidFill>
              <w14:schemeClr w14:val="tx1"/>
            </w14:solidFill>
          </w14:textFill>
        </w:rPr>
        <w:t>0</w:t>
      </w:r>
      <w:r>
        <w:rPr>
          <w:rFonts w:hint="eastAsia" w:ascii="宋体" w:hAnsi="宋体"/>
          <w:color w:val="000000" w:themeColor="text1"/>
          <w:szCs w:val="24"/>
          <w:lang w:val="en-GB"/>
          <w14:textFill>
            <w14:solidFill>
              <w14:schemeClr w14:val="tx1"/>
            </w14:solidFill>
          </w14:textFill>
        </w:rPr>
        <w:t>%)</w:t>
      </w:r>
    </w:p>
    <w:tbl>
      <w:tblPr>
        <w:tblStyle w:val="8"/>
        <w:tblW w:w="9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601"/>
        <w:gridCol w:w="68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2860" w:type="dxa"/>
            <w:gridSpan w:val="3"/>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评审分项</w:t>
            </w:r>
          </w:p>
        </w:tc>
        <w:tc>
          <w:tcPr>
            <w:tcW w:w="6713" w:type="dxa"/>
            <w:vMerge w:val="restart"/>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572"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序号</w:t>
            </w:r>
          </w:p>
        </w:tc>
        <w:tc>
          <w:tcPr>
            <w:tcW w:w="1601"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内容</w:t>
            </w:r>
          </w:p>
        </w:tc>
        <w:tc>
          <w:tcPr>
            <w:tcW w:w="687"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分值</w:t>
            </w:r>
          </w:p>
        </w:tc>
        <w:tc>
          <w:tcPr>
            <w:tcW w:w="6713" w:type="dxa"/>
            <w:vMerge w:val="continue"/>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bCs w:val="0"/>
                <w:color w:val="000000" w:themeColor="text1"/>
                <w:sz w:val="21"/>
                <w:szCs w:val="21"/>
                <w14:textFill>
                  <w14:solidFill>
                    <w14:schemeClr w14:val="tx1"/>
                  </w14:solidFill>
                </w14:textFill>
              </w:rPr>
              <w:t>总体实施方案</w:t>
            </w:r>
          </w:p>
        </w:tc>
        <w:tc>
          <w:tcPr>
            <w:tcW w:w="687"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根据</w:t>
            </w:r>
            <w:r>
              <w:rPr>
                <w:rFonts w:hint="eastAsia" w:ascii="宋体" w:hAnsi="宋体" w:eastAsia="宋体" w:cs="Times New Roman"/>
                <w:color w:val="000000" w:themeColor="text1"/>
                <w:sz w:val="21"/>
                <w:szCs w:val="21"/>
                <w:lang w:val="en-US" w:eastAsia="zh-CN"/>
                <w14:textFill>
                  <w14:solidFill>
                    <w14:schemeClr w14:val="tx1"/>
                  </w14:solidFill>
                </w14:textFill>
              </w:rPr>
              <w:t>响应供应商</w:t>
            </w:r>
            <w:r>
              <w:rPr>
                <w:rFonts w:hint="eastAsia" w:ascii="宋体" w:hAnsi="宋体" w:eastAsia="宋体" w:cs="Times New Roman"/>
                <w:color w:val="000000" w:themeColor="text1"/>
                <w:sz w:val="21"/>
                <w:szCs w:val="21"/>
                <w14:textFill>
                  <w14:solidFill>
                    <w14:schemeClr w14:val="tx1"/>
                  </w14:solidFill>
                </w14:textFill>
              </w:rPr>
              <w:t>对本项目技术标准与要求中提供的项目总体实施方案，内容包括但不限于对项目需求理解程度、流程步骤、</w:t>
            </w:r>
            <w:r>
              <w:rPr>
                <w:rFonts w:hint="eastAsia" w:ascii="宋体" w:hAnsi="宋体" w:cs="Times New Roman"/>
                <w:color w:val="000000" w:themeColor="text1"/>
                <w:sz w:val="21"/>
                <w:szCs w:val="21"/>
                <w:lang w:val="en-US" w:eastAsia="zh-CN"/>
                <w14:textFill>
                  <w14:solidFill>
                    <w14:schemeClr w14:val="tx1"/>
                  </w14:solidFill>
                </w14:textFill>
              </w:rPr>
              <w:t>分类分级</w:t>
            </w:r>
            <w:r>
              <w:rPr>
                <w:rFonts w:hint="eastAsia" w:ascii="宋体" w:hAnsi="宋体" w:eastAsia="宋体" w:cs="Times New Roman"/>
                <w:color w:val="000000" w:themeColor="text1"/>
                <w:sz w:val="21"/>
                <w:szCs w:val="21"/>
                <w14:textFill>
                  <w14:solidFill>
                    <w14:schemeClr w14:val="tx1"/>
                  </w14:solidFill>
                </w14:textFill>
              </w:rPr>
              <w:t>方法、</w:t>
            </w:r>
            <w:r>
              <w:rPr>
                <w:rFonts w:hint="eastAsia" w:ascii="宋体" w:hAnsi="宋体" w:cs="Times New Roman"/>
                <w:color w:val="000000" w:themeColor="text1"/>
                <w:sz w:val="21"/>
                <w:szCs w:val="21"/>
                <w:lang w:val="en-US" w:eastAsia="zh-CN"/>
                <w14:textFill>
                  <w14:solidFill>
                    <w14:schemeClr w14:val="tx1"/>
                  </w14:solidFill>
                </w14:textFill>
              </w:rPr>
              <w:t>分类分级</w:t>
            </w:r>
            <w:r>
              <w:rPr>
                <w:rFonts w:hint="eastAsia" w:ascii="宋体" w:hAnsi="宋体" w:eastAsia="宋体" w:cs="Times New Roman"/>
                <w:color w:val="000000" w:themeColor="text1"/>
                <w:sz w:val="21"/>
                <w:szCs w:val="21"/>
                <w14:textFill>
                  <w14:solidFill>
                    <w14:schemeClr w14:val="tx1"/>
                  </w14:solidFill>
                </w14:textFill>
              </w:rPr>
              <w:t>工具、项目管理制度、</w:t>
            </w:r>
            <w:r>
              <w:rPr>
                <w:rFonts w:hint="eastAsia" w:ascii="宋体" w:hAnsi="宋体" w:eastAsia="宋体" w:cs="Times New Roman"/>
                <w:color w:val="000000" w:themeColor="text1"/>
                <w:sz w:val="21"/>
                <w:szCs w:val="21"/>
                <w:lang w:val="en-US" w:eastAsia="zh-CN"/>
                <w14:textFill>
                  <w14:solidFill>
                    <w14:schemeClr w14:val="tx1"/>
                  </w14:solidFill>
                </w14:textFill>
              </w:rPr>
              <w:t>人员管理、</w:t>
            </w:r>
            <w:r>
              <w:rPr>
                <w:rFonts w:hint="eastAsia" w:ascii="宋体" w:hAnsi="宋体" w:eastAsia="宋体" w:cs="Times New Roman"/>
                <w:color w:val="000000" w:themeColor="text1"/>
                <w:sz w:val="21"/>
                <w:szCs w:val="21"/>
                <w14:textFill>
                  <w14:solidFill>
                    <w14:schemeClr w14:val="tx1"/>
                  </w14:solidFill>
                </w14:textFill>
              </w:rPr>
              <w:t xml:space="preserve">风险防范措施等进行评审： </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1.方案完备、详细清晰、可行性高，完全满足且优于采购需求，得1</w:t>
            </w:r>
            <w:r>
              <w:rPr>
                <w:rFonts w:hint="eastAsia" w:ascii="宋体" w:hAnsi="宋体" w:eastAsia="宋体" w:cs="Times New Roman"/>
                <w:color w:val="000000" w:themeColor="text1"/>
                <w:sz w:val="21"/>
                <w:szCs w:val="21"/>
                <w:lang w:val="en-US" w:eastAsia="zh-CN"/>
                <w14:textFill>
                  <w14:solidFill>
                    <w14:schemeClr w14:val="tx1"/>
                  </w14:solidFill>
                </w14:textFill>
              </w:rPr>
              <w:t>2分</w:t>
            </w:r>
            <w:r>
              <w:rPr>
                <w:rFonts w:hint="eastAsia" w:ascii="宋体" w:hAnsi="宋体" w:eastAsia="宋体" w:cs="Times New Roman"/>
                <w:color w:val="000000" w:themeColor="text1"/>
                <w:sz w:val="21"/>
                <w:szCs w:val="21"/>
                <w14:textFill>
                  <w14:solidFill>
                    <w14:schemeClr w14:val="tx1"/>
                  </w14:solidFill>
                </w14:textFill>
              </w:rPr>
              <w:t>；</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2.方案完整、基本可行，完全满足采购需求，得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8</w:t>
            </w:r>
            <w:r>
              <w:rPr>
                <w:rFonts w:hint="eastAsia" w:ascii="宋体" w:hAnsi="宋体" w:eastAsia="宋体" w:cs="Times New Roman"/>
                <w:color w:val="000000" w:themeColor="text1"/>
                <w:sz w:val="21"/>
                <w:szCs w:val="21"/>
                <w14:textFill>
                  <w14:solidFill>
                    <w14:schemeClr w14:val="tx1"/>
                  </w14:solidFill>
                </w14:textFill>
              </w:rPr>
              <w:t>分；</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3.方案不详细、可行性不高、部分满足采购需求，得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4</w:t>
            </w:r>
            <w:r>
              <w:rPr>
                <w:rFonts w:hint="eastAsia" w:ascii="宋体" w:hAnsi="宋体" w:eastAsia="宋体" w:cs="Times New Roman"/>
                <w:color w:val="000000" w:themeColor="text1"/>
                <w:sz w:val="21"/>
                <w:szCs w:val="21"/>
                <w14:textFill>
                  <w14:solidFill>
                    <w14:schemeClr w14:val="tx1"/>
                  </w14:solidFill>
                </w14:textFill>
              </w:rPr>
              <w:t>分；</w:t>
            </w:r>
          </w:p>
          <w:p>
            <w:p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bCs w:val="0"/>
                <w:color w:val="000000" w:themeColor="text1"/>
                <w:sz w:val="21"/>
                <w:szCs w:val="21"/>
                <w14:textFill>
                  <w14:solidFill>
                    <w14:schemeClr w14:val="tx1"/>
                  </w14:solidFill>
                </w14:textFill>
              </w:rPr>
              <w:t xml:space="preserve">报告模板方案 </w:t>
            </w:r>
          </w:p>
        </w:tc>
        <w:tc>
          <w:tcPr>
            <w:tcW w:w="687"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10分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根据</w:t>
            </w:r>
            <w:r>
              <w:rPr>
                <w:rFonts w:hint="eastAsia" w:ascii="宋体" w:hAnsi="宋体" w:eastAsia="宋体" w:cs="Times New Roman"/>
                <w:color w:val="000000" w:themeColor="text1"/>
                <w:sz w:val="21"/>
                <w:szCs w:val="21"/>
                <w:lang w:val="en-US" w:eastAsia="zh-CN"/>
                <w14:textFill>
                  <w14:solidFill>
                    <w14:schemeClr w14:val="tx1"/>
                  </w14:solidFill>
                </w14:textFill>
              </w:rPr>
              <w:t>响应供应商</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对本项目技术标准与要求中所提供的报告模板方案</w:t>
            </w:r>
            <w:r>
              <w:rPr>
                <w:rFonts w:hint="eastAsia" w:ascii="宋体" w:hAnsi="宋体" w:cs="Times New Roman"/>
                <w:color w:val="000000" w:themeColor="text1"/>
                <w:kern w:val="2"/>
                <w:sz w:val="21"/>
                <w:szCs w:val="21"/>
                <w:lang w:val="en-US" w:eastAsia="zh-CN" w:bidi="ar-SA"/>
                <w14:textFill>
                  <w14:solidFill>
                    <w14:schemeClr w14:val="tx1"/>
                  </w14:solidFill>
                </w14:textFill>
              </w:rPr>
              <w:t>：</w:t>
            </w:r>
          </w:p>
          <w:p>
            <w:pPr>
              <w:numPr>
                <w:ilvl w:val="0"/>
                <w:numId w:val="3"/>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方案完整、可操作性高，完全满足或优于采购需求的，得10分； </w:t>
            </w:r>
          </w:p>
          <w:p>
            <w:pPr>
              <w:numPr>
                <w:ilvl w:val="0"/>
                <w:numId w:val="3"/>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方案较完整、可操作性较高，完全满足采购需求的，得7分； </w:t>
            </w:r>
          </w:p>
          <w:p>
            <w:pPr>
              <w:numPr>
                <w:ilvl w:val="0"/>
                <w:numId w:val="0"/>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3.方案简单，可操作性一般，</w:t>
            </w:r>
            <w:r>
              <w:rPr>
                <w:rFonts w:hint="eastAsia" w:ascii="宋体" w:hAnsi="宋体" w:eastAsia="宋体" w:cs="Times New Roman"/>
                <w:color w:val="000000" w:themeColor="text1"/>
                <w:sz w:val="21"/>
                <w:szCs w:val="21"/>
                <w14:textFill>
                  <w14:solidFill>
                    <w14:schemeClr w14:val="tx1"/>
                  </w14:solidFill>
                </w14:textFill>
              </w:rPr>
              <w:t>部分满足采购需求</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，得4分； </w:t>
            </w:r>
          </w:p>
          <w:p>
            <w:pPr>
              <w:numPr>
                <w:ilvl w:val="0"/>
                <w:numId w:val="0"/>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bCs w:val="0"/>
                <w:color w:val="000000" w:themeColor="text1"/>
                <w:sz w:val="21"/>
                <w:szCs w:val="21"/>
                <w14:textFill>
                  <w14:solidFill>
                    <w14:schemeClr w14:val="tx1"/>
                  </w14:solidFill>
                </w14:textFill>
              </w:rPr>
              <w:t>服务工具</w:t>
            </w:r>
          </w:p>
        </w:tc>
        <w:tc>
          <w:tcPr>
            <w:tcW w:w="687" w:type="dxa"/>
            <w:tcMar>
              <w:top w:w="16" w:type="dxa"/>
              <w:left w:w="16" w:type="dxa"/>
              <w:bottom w:w="0" w:type="dxa"/>
              <w:right w:w="16" w:type="dxa"/>
            </w:tcMar>
            <w:vAlign w:val="center"/>
          </w:tcPr>
          <w:p>
            <w:pPr>
              <w:pStyle w:val="4"/>
              <w:jc w:val="center"/>
              <w:rPr>
                <w:rFonts w:hAnsi="宋体"/>
                <w:color w:val="000000" w:themeColor="text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8分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响应供应商具有</w:t>
            </w:r>
            <w:r>
              <w:rPr>
                <w:rFonts w:hint="eastAsia" w:ascii="宋体" w:hAnsi="宋体" w:cs="Times New Roman"/>
                <w:color w:val="000000" w:themeColor="text1"/>
                <w:kern w:val="2"/>
                <w:sz w:val="21"/>
                <w:szCs w:val="21"/>
                <w:lang w:val="en-US" w:eastAsia="zh-CN" w:bidi="ar-SA"/>
                <w14:textFill>
                  <w14:solidFill>
                    <w14:schemeClr w14:val="tx1"/>
                  </w14:solidFill>
                </w14:textFill>
              </w:rPr>
              <w:t>的</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服务工具</w:t>
            </w:r>
            <w:r>
              <w:rPr>
                <w:rFonts w:hint="eastAsia" w:ascii="宋体" w:hAnsi="宋体" w:cs="Times New Roman"/>
                <w:color w:val="000000" w:themeColor="text1"/>
                <w:kern w:val="2"/>
                <w:sz w:val="21"/>
                <w:szCs w:val="21"/>
                <w:lang w:val="en-US" w:eastAsia="zh-CN" w:bidi="ar-SA"/>
                <w14:textFill>
                  <w14:solidFill>
                    <w14:schemeClr w14:val="tx1"/>
                  </w14:solidFill>
                </w14:textFill>
              </w:rPr>
              <w:t>或相关技术</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numPr>
                <w:ilvl w:val="0"/>
                <w:numId w:val="0"/>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每满足一项得1分。</w:t>
            </w:r>
          </w:p>
          <w:p>
            <w:pPr>
              <w:numPr>
                <w:ilvl w:val="0"/>
                <w:numId w:val="0"/>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本项最高得8分。注：提供以下证明材料之一：1.工具为投标人自有的，提供相关工具软件著作权登记证书复印件（同一个工具包含多个功能的，可按功能得分）并加盖投标人公章；2.工具为</w:t>
            </w:r>
            <w:bookmarkStart w:id="0" w:name="_GoBack"/>
            <w:bookmarkEnd w:id="0"/>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投标人从第三方购买的，则需提供相关工具软件著作权登记证书及向版权人购买的工具产品合同关键页（合同封面、内容及双方签章页）复印件并加盖投标人公章；3.工具为投标人租赁的，提供租赁协议/合同和相关工具软件著作权登记证书复印件并加盖投标人公章；4.提供承诺函，承诺合同签订后保证根据采购人需求投入具备上述功能的工具，承诺函中须明确具体配备的工具类别及配备时间。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4</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项目质量方案</w:t>
            </w:r>
          </w:p>
        </w:tc>
        <w:tc>
          <w:tcPr>
            <w:tcW w:w="687" w:type="dxa"/>
            <w:tcMar>
              <w:top w:w="16" w:type="dxa"/>
              <w:left w:w="16" w:type="dxa"/>
              <w:bottom w:w="0" w:type="dxa"/>
              <w:right w:w="16" w:type="dxa"/>
            </w:tcMar>
            <w:vAlign w:val="center"/>
          </w:tcPr>
          <w:p>
            <w:pPr>
              <w:pStyle w:val="4"/>
              <w:jc w:val="center"/>
              <w:rPr>
                <w:rFonts w:hint="eastAsia" w:hAnsi="宋体"/>
                <w:bCs/>
                <w:color w:val="000000" w:themeColor="text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1</w:t>
            </w:r>
            <w:r>
              <w:rPr>
                <w:rFonts w:hint="eastAsia" w:ascii="宋体" w:hAnsi="宋体" w:eastAsia="宋体" w:cs="Times New Roman"/>
                <w:color w:val="000000" w:themeColor="text1"/>
                <w:sz w:val="21"/>
                <w:szCs w:val="21"/>
                <w:lang w:val="en-US" w:eastAsia="zh-CN"/>
                <w14:textFill>
                  <w14:solidFill>
                    <w14:schemeClr w14:val="tx1"/>
                  </w14:solidFill>
                </w14:textFill>
              </w:rPr>
              <w:t>0</w:t>
            </w:r>
            <w:r>
              <w:rPr>
                <w:rFonts w:hint="eastAsia" w:ascii="宋体" w:hAnsi="宋体" w:eastAsia="宋体" w:cs="Times New Roman"/>
                <w:color w:val="000000" w:themeColor="text1"/>
                <w:sz w:val="21"/>
                <w:szCs w:val="21"/>
                <w14:textFill>
                  <w14:solidFill>
                    <w14:schemeClr w14:val="tx1"/>
                  </w14:solidFill>
                </w14:textFill>
              </w:rPr>
              <w:t>分</w:t>
            </w:r>
          </w:p>
        </w:tc>
        <w:tc>
          <w:tcPr>
            <w:tcW w:w="6713" w:type="dxa"/>
            <w:tcMar>
              <w:top w:w="16" w:type="dxa"/>
              <w:left w:w="16" w:type="dxa"/>
              <w:bottom w:w="0" w:type="dxa"/>
              <w:right w:w="16" w:type="dxa"/>
            </w:tcMar>
            <w:vAlign w:val="center"/>
          </w:tcPr>
          <w:p>
            <w:pPr>
              <w:numPr>
                <w:ilvl w:val="0"/>
                <w:numId w:val="0"/>
              </w:numPr>
              <w:jc w:val="left"/>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xml:space="preserve">根据响应供应商对本项目用户需求中内容提供的质量保障方案，内容包括但不限于对质量监督措施、配置管理措施、对缺陷的控制及纠正措施等进行评审： </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1.方案完备、详细清晰、可行性高，完全满足且优于采购需求，得1</w:t>
            </w:r>
            <w:r>
              <w:rPr>
                <w:rFonts w:hint="eastAsia" w:ascii="宋体" w:hAnsi="宋体" w:eastAsia="宋体" w:cs="Times New Roman"/>
                <w:color w:val="000000" w:themeColor="text1"/>
                <w:sz w:val="21"/>
                <w:szCs w:val="21"/>
                <w:lang w:val="en-US" w:eastAsia="zh-CN"/>
                <w14:textFill>
                  <w14:solidFill>
                    <w14:schemeClr w14:val="tx1"/>
                  </w14:solidFill>
                </w14:textFill>
              </w:rPr>
              <w:t>0分</w:t>
            </w:r>
            <w:r>
              <w:rPr>
                <w:rFonts w:hint="eastAsia" w:ascii="宋体" w:hAnsi="宋体" w:eastAsia="宋体" w:cs="Times New Roman"/>
                <w:color w:val="000000" w:themeColor="text1"/>
                <w:sz w:val="21"/>
                <w:szCs w:val="21"/>
                <w14:textFill>
                  <w14:solidFill>
                    <w14:schemeClr w14:val="tx1"/>
                  </w14:solidFill>
                </w14:textFill>
              </w:rPr>
              <w:t>；</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2.方案完整、基本可行，完全满足采购需求，得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7</w:t>
            </w:r>
            <w:r>
              <w:rPr>
                <w:rFonts w:hint="eastAsia" w:ascii="宋体" w:hAnsi="宋体" w:eastAsia="宋体" w:cs="Times New Roman"/>
                <w:color w:val="000000" w:themeColor="text1"/>
                <w:sz w:val="21"/>
                <w:szCs w:val="21"/>
                <w14:textFill>
                  <w14:solidFill>
                    <w14:schemeClr w14:val="tx1"/>
                  </w14:solidFill>
                </w14:textFill>
              </w:rPr>
              <w:t>分；</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3.方案不详细、可行性不高、部分满足采购需求，得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4</w:t>
            </w:r>
            <w:r>
              <w:rPr>
                <w:rFonts w:hint="eastAsia" w:ascii="宋体" w:hAnsi="宋体" w:eastAsia="宋体" w:cs="Times New Roman"/>
                <w:color w:val="000000" w:themeColor="text1"/>
                <w:sz w:val="21"/>
                <w:szCs w:val="21"/>
                <w14:textFill>
                  <w14:solidFill>
                    <w14:schemeClr w14:val="tx1"/>
                  </w14:solidFill>
                </w14:textFill>
              </w:rPr>
              <w:t>分；</w:t>
            </w:r>
          </w:p>
          <w:p>
            <w:pPr>
              <w:numPr>
                <w:ilvl w:val="0"/>
                <w:numId w:val="0"/>
              </w:numPr>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2173" w:type="dxa"/>
            <w:gridSpan w:val="2"/>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合计</w:t>
            </w:r>
          </w:p>
        </w:tc>
        <w:tc>
          <w:tcPr>
            <w:tcW w:w="687" w:type="dxa"/>
            <w:vAlign w:val="center"/>
          </w:tcPr>
          <w:p>
            <w:pPr>
              <w:pStyle w:val="4"/>
              <w:jc w:val="center"/>
              <w:rPr>
                <w:rFonts w:hAnsi="宋体"/>
                <w:color w:val="000000" w:themeColor="text1"/>
                <w14:textFill>
                  <w14:solidFill>
                    <w14:schemeClr w14:val="tx1"/>
                  </w14:solidFill>
                </w14:textFill>
              </w:rPr>
            </w:pPr>
            <w:r>
              <w:rPr>
                <w:rFonts w:hint="eastAsia" w:hAnsi="宋体"/>
                <w:bCs/>
                <w:color w:val="000000" w:themeColor="text1"/>
                <w:lang w:val="en-US" w:eastAsia="zh-CN"/>
                <w14:textFill>
                  <w14:solidFill>
                    <w14:schemeClr w14:val="tx1"/>
                  </w14:solidFill>
                </w14:textFill>
              </w:rPr>
              <w:t>4</w:t>
            </w:r>
            <w:r>
              <w:rPr>
                <w:rFonts w:hint="eastAsia" w:hAnsi="宋体"/>
                <w:bCs/>
                <w:color w:val="000000" w:themeColor="text1"/>
                <w14:textFill>
                  <w14:solidFill>
                    <w14:schemeClr w14:val="tx1"/>
                  </w14:solidFill>
                </w14:textFill>
              </w:rPr>
              <w:t>0分</w:t>
            </w:r>
          </w:p>
        </w:tc>
        <w:tc>
          <w:tcPr>
            <w:tcW w:w="6713" w:type="dxa"/>
            <w:tcMar>
              <w:top w:w="16" w:type="dxa"/>
              <w:left w:w="16" w:type="dxa"/>
              <w:bottom w:w="0" w:type="dxa"/>
              <w:right w:w="16" w:type="dxa"/>
            </w:tcMar>
            <w:vAlign w:val="center"/>
          </w:tcPr>
          <w:p>
            <w:pPr>
              <w:rPr>
                <w:rFonts w:ascii="宋体" w:hAnsi="宋体"/>
                <w:bCs/>
                <w:color w:val="000000" w:themeColor="text1"/>
                <w:sz w:val="21"/>
                <w:szCs w:val="21"/>
                <w14:textFill>
                  <w14:solidFill>
                    <w14:schemeClr w14:val="tx1"/>
                  </w14:solidFill>
                </w14:textFill>
              </w:rPr>
            </w:pPr>
          </w:p>
        </w:tc>
      </w:tr>
    </w:tbl>
    <w:p>
      <w:pPr>
        <w:spacing w:line="400" w:lineRule="exact"/>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lang w:val="en-US" w:eastAsia="zh-CN"/>
          <w14:textFill>
            <w14:solidFill>
              <w14:schemeClr w14:val="tx1"/>
            </w14:solidFill>
          </w14:textFill>
        </w:rPr>
        <w:t>技术</w:t>
      </w:r>
      <w:r>
        <w:rPr>
          <w:rFonts w:hint="eastAsia" w:ascii="宋体" w:hAnsi="宋体"/>
          <w:color w:val="000000" w:themeColor="text1"/>
          <w:szCs w:val="24"/>
          <w14:textFill>
            <w14:solidFill>
              <w14:schemeClr w14:val="tx1"/>
            </w14:solidFill>
          </w14:textFill>
        </w:rPr>
        <w:t>部分计算公式如下：</w:t>
      </w:r>
    </w:p>
    <w:p>
      <w:pPr>
        <w:spacing w:line="400" w:lineRule="exact"/>
        <w:ind w:firstLine="420" w:firstLineChars="20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子项</w:t>
      </w:r>
      <w:r>
        <w:rPr>
          <w:rFonts w:hint="eastAsia" w:ascii="宋体" w:hAnsi="宋体"/>
          <w:color w:val="000000" w:themeColor="text1"/>
          <w:szCs w:val="24"/>
          <w:lang w:eastAsia="zh-Hans"/>
          <w14:textFill>
            <w14:solidFill>
              <w14:schemeClr w14:val="tx1"/>
            </w14:solidFill>
          </w14:textFill>
        </w:rPr>
        <w:t>服务</w:t>
      </w:r>
      <w:r>
        <w:rPr>
          <w:rFonts w:hint="eastAsia" w:ascii="宋体" w:hAnsi="宋体"/>
          <w:color w:val="000000" w:themeColor="text1"/>
          <w:szCs w:val="24"/>
          <w14:textFill>
            <w14:solidFill>
              <w14:schemeClr w14:val="tx1"/>
            </w14:solidFill>
          </w14:textFill>
        </w:rPr>
        <w:t>评分=（各评委子项评分总和）</w:t>
      </w:r>
      <w:r>
        <w:rPr>
          <w:rFonts w:ascii="宋体" w:hAnsi="宋体"/>
          <w:color w:val="000000" w:themeColor="text1"/>
          <w:szCs w:val="24"/>
          <w:lang w:val="en-GB"/>
          <w14:textFill>
            <w14:solidFill>
              <w14:schemeClr w14:val="tx1"/>
            </w14:solidFill>
          </w14:textFill>
        </w:rPr>
        <w:t>÷评委人数</w:t>
      </w:r>
      <w:r>
        <w:rPr>
          <w:rFonts w:hint="eastAsia" w:ascii="宋体" w:hAnsi="宋体"/>
          <w:color w:val="000000" w:themeColor="text1"/>
          <w:szCs w:val="24"/>
          <w:lang w:val="en-GB"/>
          <w14:textFill>
            <w14:solidFill>
              <w14:schemeClr w14:val="tx1"/>
            </w14:solidFill>
          </w14:textFill>
        </w:rPr>
        <w:t xml:space="preserve"> </w:t>
      </w:r>
    </w:p>
    <w:p>
      <w:pPr>
        <w:spacing w:line="400" w:lineRule="exact"/>
        <w:ind w:firstLine="420" w:firstLineChars="20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lang w:val="en-US" w:eastAsia="zh-CN"/>
          <w14:textFill>
            <w14:solidFill>
              <w14:schemeClr w14:val="tx1"/>
            </w14:solidFill>
          </w14:textFill>
        </w:rPr>
        <w:t>技术</w:t>
      </w:r>
      <w:r>
        <w:rPr>
          <w:rFonts w:hint="eastAsia" w:ascii="宋体" w:hAnsi="宋体"/>
          <w:color w:val="000000" w:themeColor="text1"/>
          <w:szCs w:val="24"/>
          <w14:textFill>
            <w14:solidFill>
              <w14:schemeClr w14:val="tx1"/>
            </w14:solidFill>
          </w14:textFill>
        </w:rPr>
        <w:t>得分=各子项技术评分的总和</w:t>
      </w:r>
    </w:p>
    <w:p>
      <w:pPr>
        <w:rPr>
          <w:rFonts w:hint="eastAsia"/>
          <w:color w:val="000000" w:themeColor="text1"/>
          <w14:textFill>
            <w14:solidFill>
              <w14:schemeClr w14:val="tx1"/>
            </w14:solidFill>
          </w14:textFill>
        </w:rPr>
      </w:pPr>
    </w:p>
    <w:p>
      <w:pPr>
        <w:numPr>
          <w:ilvl w:val="0"/>
          <w:numId w:val="2"/>
        </w:numPr>
        <w:tabs>
          <w:tab w:val="left" w:pos="510"/>
          <w:tab w:val="left" w:pos="540"/>
        </w:tabs>
        <w:snapToGrid w:val="0"/>
        <w:spacing w:line="400" w:lineRule="exact"/>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商务部分评审标准（权重</w:t>
      </w:r>
      <w:r>
        <w:rPr>
          <w:rFonts w:hint="eastAsia" w:ascii="宋体" w:hAnsi="宋体"/>
          <w:color w:val="000000" w:themeColor="text1"/>
          <w:szCs w:val="24"/>
          <w:lang w:val="en-US" w:eastAsia="zh-CN"/>
          <w14:textFill>
            <w14:solidFill>
              <w14:schemeClr w14:val="tx1"/>
            </w14:solidFill>
          </w14:textFill>
        </w:rPr>
        <w:t>3</w:t>
      </w:r>
      <w:r>
        <w:rPr>
          <w:rFonts w:hint="eastAsia" w:ascii="宋体" w:hAnsi="宋体"/>
          <w:color w:val="000000" w:themeColor="text1"/>
          <w:szCs w:val="24"/>
          <w14:textFill>
            <w14:solidFill>
              <w14:schemeClr w14:val="tx1"/>
            </w14:solidFill>
          </w14:textFill>
        </w:rPr>
        <w:t>0</w:t>
      </w:r>
      <w:r>
        <w:rPr>
          <w:rFonts w:hint="eastAsia" w:ascii="宋体" w:hAnsi="宋体"/>
          <w:color w:val="000000" w:themeColor="text1"/>
          <w:szCs w:val="24"/>
          <w:lang w:val="en-GB"/>
          <w14:textFill>
            <w14:solidFill>
              <w14:schemeClr w14:val="tx1"/>
            </w14:solidFill>
          </w14:textFill>
        </w:rPr>
        <w:t>%)</w:t>
      </w:r>
    </w:p>
    <w:tbl>
      <w:tblPr>
        <w:tblStyle w:val="8"/>
        <w:tblW w:w="9459" w:type="dxa"/>
        <w:jc w:val="center"/>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412"/>
        <w:gridCol w:w="675"/>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2805" w:type="dxa"/>
            <w:gridSpan w:val="3"/>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评审分项</w:t>
            </w:r>
          </w:p>
        </w:tc>
        <w:tc>
          <w:tcPr>
            <w:tcW w:w="6654" w:type="dxa"/>
            <w:vMerge w:val="restart"/>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718"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序号</w:t>
            </w:r>
          </w:p>
        </w:tc>
        <w:tc>
          <w:tcPr>
            <w:tcW w:w="1412"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内容</w:t>
            </w:r>
          </w:p>
        </w:tc>
        <w:tc>
          <w:tcPr>
            <w:tcW w:w="675"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分值</w:t>
            </w:r>
          </w:p>
        </w:tc>
        <w:tc>
          <w:tcPr>
            <w:tcW w:w="6654" w:type="dxa"/>
            <w:vMerge w:val="continue"/>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p>
        </w:tc>
        <w:tc>
          <w:tcPr>
            <w:tcW w:w="1412"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同类业绩情况</w:t>
            </w:r>
          </w:p>
        </w:tc>
        <w:tc>
          <w:tcPr>
            <w:tcW w:w="675"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14:textFill>
                  <w14:solidFill>
                    <w14:schemeClr w14:val="tx1"/>
                  </w14:solidFill>
                </w14:textFill>
              </w:rPr>
              <w:t>分</w:t>
            </w:r>
          </w:p>
        </w:tc>
        <w:tc>
          <w:tcPr>
            <w:tcW w:w="6654" w:type="dxa"/>
            <w:tcMar>
              <w:top w:w="16" w:type="dxa"/>
              <w:left w:w="16" w:type="dxa"/>
              <w:bottom w:w="0" w:type="dxa"/>
              <w:right w:w="16" w:type="dxa"/>
            </w:tcMar>
            <w:vAlign w:val="center"/>
          </w:tcPr>
          <w:p>
            <w:pPr>
              <w:rPr>
                <w:rFonts w:hint="eastAsia" w:eastAsia="宋体"/>
                <w:color w:val="000000" w:themeColor="text1"/>
                <w:lang w:eastAsia="zh-CN"/>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投标人自 202</w:t>
            </w:r>
            <w:r>
              <w:rPr>
                <w:rFonts w:hint="eastAsia" w:ascii="宋体" w:hAnsi="宋体"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14:textFill>
                  <w14:solidFill>
                    <w14:schemeClr w14:val="tx1"/>
                  </w14:solidFill>
                </w14:textFill>
              </w:rPr>
              <w:t xml:space="preserve"> 年1月1日至本项目投标截止之日（以合同签订时间为准），提供同类项目</w:t>
            </w:r>
            <w:r>
              <w:rPr>
                <w:rFonts w:hint="eastAsia" w:ascii="宋体" w:hAnsi="宋体" w:eastAsia="宋体" w:cs="Times New Roman"/>
                <w:color w:val="000000" w:themeColor="text1"/>
                <w:sz w:val="21"/>
                <w:szCs w:val="21"/>
                <w:lang w:val="en-US" w:eastAsia="zh-CN"/>
                <w14:textFill>
                  <w14:solidFill>
                    <w14:schemeClr w14:val="tx1"/>
                  </w14:solidFill>
                </w14:textFill>
              </w:rPr>
              <w:t>业绩</w:t>
            </w:r>
            <w:r>
              <w:rPr>
                <w:rFonts w:hint="eastAsia" w:ascii="宋体" w:hAnsi="宋体" w:eastAsia="宋体" w:cs="Times New Roman"/>
                <w:color w:val="000000" w:themeColor="text1"/>
                <w:sz w:val="21"/>
                <w:szCs w:val="21"/>
                <w14:textFill>
                  <w14:solidFill>
                    <w14:schemeClr w14:val="tx1"/>
                  </w14:solidFill>
                </w14:textFill>
              </w:rPr>
              <w:t>，每提供1个符合要求的项目案例得</w:t>
            </w:r>
            <w:r>
              <w:rPr>
                <w:rFonts w:hint="eastAsia" w:ascii="宋体" w:hAnsi="宋体" w:eastAsia="宋体" w:cs="Times New Roman"/>
                <w:color w:val="000000" w:themeColor="text1"/>
                <w:sz w:val="21"/>
                <w:szCs w:val="21"/>
                <w:lang w:eastAsia="zh-CN"/>
                <w14:textFill>
                  <w14:solidFill>
                    <w14:schemeClr w14:val="tx1"/>
                  </w14:solidFill>
                </w14:textFill>
              </w:rPr>
              <w:t>3</w:t>
            </w:r>
            <w:r>
              <w:rPr>
                <w:rFonts w:hint="eastAsia" w:ascii="宋体" w:hAnsi="宋体" w:eastAsia="宋体" w:cs="Times New Roman"/>
                <w:color w:val="000000" w:themeColor="text1"/>
                <w:sz w:val="21"/>
                <w:szCs w:val="21"/>
                <w14:textFill>
                  <w14:solidFill>
                    <w14:schemeClr w14:val="tx1"/>
                  </w14:solidFill>
                </w14:textFill>
              </w:rPr>
              <w:t>分，本项最高得</w:t>
            </w:r>
            <w:r>
              <w:rPr>
                <w:rFonts w:hint="eastAsia" w:ascii="宋体" w:hAnsi="宋体" w:eastAsia="宋体" w:cs="Times New Roman"/>
                <w:color w:val="000000" w:themeColor="text1"/>
                <w:sz w:val="21"/>
                <w:szCs w:val="21"/>
                <w:lang w:eastAsia="zh-CN"/>
                <w14:textFill>
                  <w14:solidFill>
                    <w14:schemeClr w14:val="tx1"/>
                  </w14:solidFill>
                </w14:textFill>
              </w:rPr>
              <w:t>9</w:t>
            </w:r>
            <w:r>
              <w:rPr>
                <w:rFonts w:hint="eastAsia" w:ascii="宋体" w:hAnsi="宋体" w:eastAsia="宋体" w:cs="Times New Roman"/>
                <w:color w:val="000000" w:themeColor="text1"/>
                <w:sz w:val="21"/>
                <w:szCs w:val="21"/>
                <w14:textFill>
                  <w14:solidFill>
                    <w14:schemeClr w14:val="tx1"/>
                  </w14:solidFill>
                </w14:textFill>
              </w:rPr>
              <w:t>分。注：需提供业绩合同关键页扫描件加盖投标人公章</w:t>
            </w:r>
            <w:r>
              <w:rPr>
                <w:rFonts w:hint="eastAsia" w:ascii="宋体" w:hAnsi="宋体" w:eastAsia="宋体" w:cs="Times New Roman"/>
                <w:color w:val="000000" w:themeColor="text1"/>
                <w:sz w:val="21"/>
                <w:szCs w:val="21"/>
                <w:lang w:eastAsia="zh-CN"/>
                <w14:textFill>
                  <w14:solidFill>
                    <w14:schemeClr w14:val="tx1"/>
                  </w14:solidFill>
                </w14:textFill>
              </w:rPr>
              <w:t>，</w:t>
            </w:r>
            <w:r>
              <w:rPr>
                <w:rFonts w:hint="eastAsia" w:ascii="宋体" w:hAnsi="宋体" w:eastAsia="宋体" w:cs="Times New Roman"/>
                <w:color w:val="000000" w:themeColor="text1"/>
                <w:sz w:val="21"/>
                <w:szCs w:val="21"/>
                <w14:textFill>
                  <w14:solidFill>
                    <w14:schemeClr w14:val="tx1"/>
                  </w14:solidFill>
                </w14:textFill>
              </w:rPr>
              <w:t>不提供或提供不全不得分</w:t>
            </w:r>
            <w:r>
              <w:rPr>
                <w:rFonts w:hint="eastAsia" w:ascii="宋体" w:hAnsi="宋体" w:eastAsia="宋体" w:cs="Times New Roman"/>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14:textFill>
                  <w14:solidFill>
                    <w14:schemeClr w14:val="tx1"/>
                  </w14:solidFill>
                </w14:textFill>
              </w:rPr>
            </w:pPr>
            <w:r>
              <w:rPr>
                <w:rFonts w:hint="eastAsia" w:ascii="宋体" w:hAnsi="宋体" w:eastAsia="宋体" w:cs="Times New Roman"/>
                <w:bCs/>
                <w:color w:val="000000" w:themeColor="text1"/>
                <w:sz w:val="21"/>
                <w:szCs w:val="21"/>
                <w14:textFill>
                  <w14:solidFill>
                    <w14:schemeClr w14:val="tx1"/>
                  </w14:solidFill>
                </w14:textFill>
              </w:rPr>
              <w:t>2</w:t>
            </w:r>
          </w:p>
        </w:tc>
        <w:tc>
          <w:tcPr>
            <w:tcW w:w="1412"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14:textFill>
                  <w14:solidFill>
                    <w14:schemeClr w14:val="tx1"/>
                  </w14:solidFill>
                </w14:textFill>
              </w:rPr>
            </w:pPr>
            <w:r>
              <w:rPr>
                <w:rFonts w:hint="eastAsia" w:ascii="宋体" w:hAnsi="宋体" w:eastAsia="宋体" w:cs="Times New Roman"/>
                <w:bCs/>
                <w:color w:val="000000" w:themeColor="text1"/>
                <w:sz w:val="21"/>
                <w:szCs w:val="21"/>
                <w14:textFill>
                  <w14:solidFill>
                    <w14:schemeClr w14:val="tx1"/>
                  </w14:solidFill>
                </w14:textFill>
              </w:rPr>
              <w:t>供应商荣誉</w:t>
            </w:r>
          </w:p>
        </w:tc>
        <w:tc>
          <w:tcPr>
            <w:tcW w:w="675"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14:textFill>
                  <w14:solidFill>
                    <w14:schemeClr w14:val="tx1"/>
                  </w14:solidFill>
                </w14:textFill>
              </w:rPr>
              <w:t>分</w:t>
            </w:r>
          </w:p>
        </w:tc>
        <w:tc>
          <w:tcPr>
            <w:tcW w:w="6654" w:type="dxa"/>
            <w:tcMar>
              <w:top w:w="16" w:type="dxa"/>
              <w:left w:w="16" w:type="dxa"/>
              <w:bottom w:w="0" w:type="dxa"/>
              <w:right w:w="16" w:type="dxa"/>
            </w:tcMar>
            <w:vAlign w:val="center"/>
          </w:tcPr>
          <w:p>
            <w:pPr>
              <w:rPr>
                <w:rFonts w:hint="eastAsia" w:ascii="宋体" w:hAnsi="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获得于相关证书的，每提供一份得3分，本项目最高得9分。</w:t>
            </w:r>
          </w:p>
          <w:p>
            <w:pPr>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注：以上证书需提供复印件并加盖投标人公章，不提供不得分。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lang w:val="en-US" w:eastAsia="zh-CN"/>
                <w14:textFill>
                  <w14:solidFill>
                    <w14:schemeClr w14:val="tx1"/>
                  </w14:solidFill>
                </w14:textFill>
              </w:rPr>
            </w:pPr>
            <w:r>
              <w:rPr>
                <w:rFonts w:hint="eastAsia" w:ascii="宋体" w:hAnsi="宋体" w:eastAsia="宋体" w:cs="Times New Roman"/>
                <w:bCs/>
                <w:color w:val="000000" w:themeColor="text1"/>
                <w:sz w:val="21"/>
                <w:szCs w:val="21"/>
                <w:lang w:val="en-US" w:eastAsia="zh-CN"/>
                <w14:textFill>
                  <w14:solidFill>
                    <w14:schemeClr w14:val="tx1"/>
                  </w14:solidFill>
                </w14:textFill>
              </w:rPr>
              <w:t>3</w:t>
            </w:r>
          </w:p>
        </w:tc>
        <w:tc>
          <w:tcPr>
            <w:tcW w:w="1412"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14:textFill>
                  <w14:solidFill>
                    <w14:schemeClr w14:val="tx1"/>
                  </w14:solidFill>
                </w14:textFill>
              </w:rPr>
            </w:pPr>
            <w:r>
              <w:rPr>
                <w:rFonts w:hint="eastAsia" w:ascii="宋体" w:hAnsi="宋体" w:eastAsia="宋体" w:cs="Times New Roman"/>
                <w:bCs/>
                <w:color w:val="000000" w:themeColor="text1"/>
                <w:sz w:val="21"/>
                <w:szCs w:val="21"/>
                <w14:textFill>
                  <w14:solidFill>
                    <w14:schemeClr w14:val="tx1"/>
                  </w14:solidFill>
                </w14:textFill>
              </w:rPr>
              <w:t xml:space="preserve">投标人拟投入项目实施团队人员资质 </w:t>
            </w:r>
          </w:p>
        </w:tc>
        <w:tc>
          <w:tcPr>
            <w:tcW w:w="675" w:type="dxa"/>
            <w:tcMar>
              <w:top w:w="16" w:type="dxa"/>
              <w:left w:w="16" w:type="dxa"/>
              <w:bottom w:w="0" w:type="dxa"/>
              <w:right w:w="16" w:type="dxa"/>
            </w:tcMar>
            <w:vAlign w:val="center"/>
          </w:tcPr>
          <w:p>
            <w:pPr>
              <w:jc w:val="center"/>
              <w:rPr>
                <w:rFonts w:hint="default" w:ascii="宋体" w:hAnsi="宋体" w:eastAsia="宋体" w:cs="Times New Roman"/>
                <w:bCs w:val="0"/>
                <w:color w:val="000000" w:themeColor="text1"/>
                <w:sz w:val="21"/>
                <w:szCs w:val="21"/>
                <w:lang w:val="en-US" w:eastAsia="zh-CN"/>
                <w14:textFill>
                  <w14:solidFill>
                    <w14:schemeClr w14:val="tx1"/>
                  </w14:solidFill>
                </w14:textFill>
              </w:rPr>
            </w:pPr>
            <w:r>
              <w:rPr>
                <w:rFonts w:hint="eastAsia" w:ascii="宋体" w:hAnsi="宋体" w:eastAsia="宋体" w:cs="Times New Roman"/>
                <w:bCs w:val="0"/>
                <w:color w:val="000000" w:themeColor="text1"/>
                <w:sz w:val="21"/>
                <w:szCs w:val="21"/>
                <w:lang w:val="en-US" w:eastAsia="zh-CN"/>
                <w14:textFill>
                  <w14:solidFill>
                    <w14:schemeClr w14:val="tx1"/>
                  </w14:solidFill>
                </w14:textFill>
              </w:rPr>
              <w:t>12分</w:t>
            </w:r>
          </w:p>
        </w:tc>
        <w:tc>
          <w:tcPr>
            <w:tcW w:w="6654" w:type="dxa"/>
            <w:tcMar>
              <w:top w:w="16" w:type="dxa"/>
              <w:left w:w="16" w:type="dxa"/>
              <w:bottom w:w="0" w:type="dxa"/>
              <w:right w:w="16" w:type="dxa"/>
            </w:tcMar>
            <w:vAlign w:val="center"/>
          </w:tcPr>
          <w:p>
            <w:pPr>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根据</w:t>
            </w:r>
            <w:r>
              <w:rPr>
                <w:rFonts w:hint="eastAsia" w:ascii="宋体" w:hAnsi="宋体" w:eastAsia="宋体" w:cs="Times New Roman"/>
                <w:color w:val="000000" w:themeColor="text1"/>
                <w:sz w:val="21"/>
                <w:szCs w:val="21"/>
                <w:lang w:val="en-US" w:eastAsia="zh-CN"/>
                <w14:textFill>
                  <w14:solidFill>
                    <w14:schemeClr w14:val="tx1"/>
                  </w14:solidFill>
                </w14:textFill>
              </w:rPr>
              <w:t>响应供应商</w:t>
            </w:r>
            <w:r>
              <w:rPr>
                <w:rFonts w:hint="eastAsia" w:ascii="宋体" w:hAnsi="宋体" w:eastAsia="宋体" w:cs="Times New Roman"/>
                <w:color w:val="000000" w:themeColor="text1"/>
                <w:sz w:val="21"/>
                <w:szCs w:val="21"/>
                <w14:textFill>
                  <w14:solidFill>
                    <w14:schemeClr w14:val="tx1"/>
                  </w14:solidFill>
                </w14:textFill>
              </w:rPr>
              <w:t>拟投入本项目的项目实施团队人员情况进行评审：</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涉及分级分类相关的证书，如人员资质证书等。每提供一份得2分，</w:t>
            </w:r>
            <w:r>
              <w:rPr>
                <w:rFonts w:hint="eastAsia" w:ascii="宋体" w:hAnsi="宋体" w:cs="Times New Roman"/>
                <w:color w:val="000000" w:themeColor="text1"/>
                <w:sz w:val="21"/>
                <w:szCs w:val="21"/>
                <w:lang w:val="en-US" w:eastAsia="zh-CN"/>
                <w14:textFill>
                  <w14:solidFill>
                    <w14:schemeClr w14:val="tx1"/>
                  </w14:solidFill>
                </w14:textFill>
              </w:rPr>
              <w:t>本项目最高得</w:t>
            </w:r>
            <w:r>
              <w:rPr>
                <w:rFonts w:hint="eastAsia" w:ascii="宋体" w:hAnsi="宋体" w:eastAsia="宋体" w:cs="Times New Roman"/>
                <w:color w:val="000000" w:themeColor="text1"/>
                <w:sz w:val="21"/>
                <w:szCs w:val="21"/>
                <w:lang w:val="en-US" w:eastAsia="zh-CN"/>
                <w14:textFill>
                  <w14:solidFill>
                    <w14:schemeClr w14:val="tx1"/>
                  </w14:solidFill>
                </w14:textFill>
              </w:rPr>
              <w:t>12分。</w:t>
            </w:r>
          </w:p>
          <w:p>
            <w:pPr>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注:需提供人员相关证书复印件及提交响应文件截止前</w:t>
            </w:r>
            <w:r>
              <w:rPr>
                <w:rFonts w:hint="eastAsia" w:ascii="宋体" w:hAnsi="宋体" w:eastAsia="宋体" w:cs="Times New Roman"/>
                <w:color w:val="000000" w:themeColor="text1"/>
                <w:sz w:val="21"/>
                <w:szCs w:val="21"/>
                <w:lang w:val="en-US" w:eastAsia="zh-CN"/>
                <w14:textFill>
                  <w14:solidFill>
                    <w14:schemeClr w14:val="tx1"/>
                  </w14:solidFill>
                </w14:textFill>
              </w:rPr>
              <w:t>任意一</w:t>
            </w:r>
            <w:r>
              <w:rPr>
                <w:rFonts w:hint="eastAsia" w:ascii="宋体" w:hAnsi="宋体" w:eastAsia="宋体" w:cs="Times New Roman"/>
                <w:color w:val="000000" w:themeColor="text1"/>
                <w:sz w:val="21"/>
                <w:szCs w:val="21"/>
                <w14:textFill>
                  <w14:solidFill>
                    <w14:schemeClr w14:val="tx1"/>
                  </w14:solidFill>
                </w14:textFill>
              </w:rPr>
              <w:t>个月(不含截止当月)供应商为其缴纳的社保凭证，不提供或提供不全对应分项不得分。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2130" w:type="dxa"/>
            <w:gridSpan w:val="2"/>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合计</w:t>
            </w:r>
          </w:p>
        </w:tc>
        <w:tc>
          <w:tcPr>
            <w:tcW w:w="675" w:type="dxa"/>
            <w:vAlign w:val="center"/>
          </w:tcPr>
          <w:p>
            <w:pPr>
              <w:pStyle w:val="4"/>
              <w:jc w:val="center"/>
              <w:rPr>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3</w:t>
            </w:r>
            <w:r>
              <w:rPr>
                <w:rFonts w:hint="eastAsia" w:hAnsi="宋体" w:cs="宋体"/>
                <w:color w:val="000000" w:themeColor="text1"/>
                <w14:textFill>
                  <w14:solidFill>
                    <w14:schemeClr w14:val="tx1"/>
                  </w14:solidFill>
                </w14:textFill>
              </w:rPr>
              <w:t>0分</w:t>
            </w:r>
          </w:p>
        </w:tc>
        <w:tc>
          <w:tcPr>
            <w:tcW w:w="6654" w:type="dxa"/>
            <w:tcMar>
              <w:top w:w="16" w:type="dxa"/>
              <w:left w:w="16" w:type="dxa"/>
              <w:bottom w:w="0" w:type="dxa"/>
              <w:right w:w="16" w:type="dxa"/>
            </w:tcMar>
            <w:vAlign w:val="center"/>
          </w:tcPr>
          <w:p>
            <w:pPr>
              <w:rPr>
                <w:rFonts w:hint="eastAsia" w:ascii="宋体" w:hAnsi="宋体" w:cs="宋体"/>
                <w:bCs/>
                <w:color w:val="000000" w:themeColor="text1"/>
                <w:sz w:val="21"/>
                <w:szCs w:val="21"/>
                <w14:textFill>
                  <w14:solidFill>
                    <w14:schemeClr w14:val="tx1"/>
                  </w14:solidFill>
                </w14:textFill>
              </w:rPr>
            </w:pPr>
          </w:p>
        </w:tc>
      </w:tr>
    </w:tbl>
    <w:p>
      <w:pPr>
        <w:spacing w:line="460" w:lineRule="exact"/>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szCs w:val="24"/>
          <w14:textFill>
            <w14:solidFill>
              <w14:schemeClr w14:val="tx1"/>
            </w14:solidFill>
          </w14:textFill>
        </w:rPr>
        <w:t>部分计算公式如下：</w:t>
      </w:r>
    </w:p>
    <w:p>
      <w:pPr>
        <w:spacing w:line="460" w:lineRule="exact"/>
        <w:ind w:firstLine="420" w:firstLineChars="20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子项</w:t>
      </w: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szCs w:val="24"/>
          <w14:textFill>
            <w14:solidFill>
              <w14:schemeClr w14:val="tx1"/>
            </w14:solidFill>
          </w14:textFill>
        </w:rPr>
        <w:t>评分=（各评委子项评分总和）</w:t>
      </w:r>
      <w:r>
        <w:rPr>
          <w:rFonts w:ascii="宋体" w:hAnsi="宋体"/>
          <w:color w:val="000000" w:themeColor="text1"/>
          <w:szCs w:val="24"/>
          <w:lang w:val="en-GB"/>
          <w14:textFill>
            <w14:solidFill>
              <w14:schemeClr w14:val="tx1"/>
            </w14:solidFill>
          </w14:textFill>
        </w:rPr>
        <w:t>÷评委人数</w:t>
      </w:r>
      <w:r>
        <w:rPr>
          <w:rFonts w:hint="eastAsia" w:ascii="宋体" w:hAnsi="宋体"/>
          <w:color w:val="000000" w:themeColor="text1"/>
          <w:szCs w:val="24"/>
          <w:lang w:val="en-GB"/>
          <w14:textFill>
            <w14:solidFill>
              <w14:schemeClr w14:val="tx1"/>
            </w14:solidFill>
          </w14:textFill>
        </w:rPr>
        <w:t xml:space="preserve"> </w:t>
      </w:r>
    </w:p>
    <w:p>
      <w:pPr>
        <w:spacing w:line="460" w:lineRule="exact"/>
        <w:ind w:firstLine="420" w:firstLineChars="200"/>
        <w:rPr>
          <w:rFonts w:hint="eastAsia"/>
          <w:color w:val="000000" w:themeColor="text1"/>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szCs w:val="24"/>
          <w14:textFill>
            <w14:solidFill>
              <w14:schemeClr w14:val="tx1"/>
            </w14:solidFill>
          </w14:textFill>
        </w:rPr>
        <w:t>得分=各子项</w:t>
      </w: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szCs w:val="24"/>
          <w14:textFill>
            <w14:solidFill>
              <w14:schemeClr w14:val="tx1"/>
            </w14:solidFill>
          </w14:textFill>
        </w:rPr>
        <w:t>评分的总和</w:t>
      </w:r>
    </w:p>
    <w:p>
      <w:pPr>
        <w:numPr>
          <w:ilvl w:val="0"/>
          <w:numId w:val="2"/>
        </w:numPr>
        <w:tabs>
          <w:tab w:val="left" w:pos="510"/>
          <w:tab w:val="left" w:pos="540"/>
        </w:tabs>
        <w:snapToGrid w:val="0"/>
        <w:spacing w:line="460" w:lineRule="exact"/>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价格部分（权重</w:t>
      </w:r>
      <w:r>
        <w:rPr>
          <w:rFonts w:hint="eastAsia" w:ascii="宋体" w:hAnsi="宋体"/>
          <w:color w:val="000000" w:themeColor="text1"/>
          <w:szCs w:val="24"/>
          <w:lang w:val="en-US" w:eastAsia="zh-CN"/>
          <w14:textFill>
            <w14:solidFill>
              <w14:schemeClr w14:val="tx1"/>
            </w14:solidFill>
          </w14:textFill>
        </w:rPr>
        <w:t>3</w:t>
      </w:r>
      <w:r>
        <w:rPr>
          <w:rFonts w:hint="eastAsia" w:ascii="宋体" w:hAnsi="宋体"/>
          <w:color w:val="000000" w:themeColor="text1"/>
          <w:szCs w:val="24"/>
          <w:lang w:val="en-GB"/>
          <w14:textFill>
            <w14:solidFill>
              <w14:schemeClr w14:val="tx1"/>
            </w14:solidFill>
          </w14:textFill>
        </w:rPr>
        <w:t>0%)</w:t>
      </w:r>
    </w:p>
    <w:p>
      <w:pPr>
        <w:tabs>
          <w:tab w:val="left" w:pos="510"/>
          <w:tab w:val="left" w:pos="540"/>
        </w:tabs>
        <w:spacing w:line="500" w:lineRule="exact"/>
        <w:ind w:firstLine="420" w:firstLineChars="200"/>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综合评分法中的价格分统一采用低价优先计算，经评标委员会审核，满足要求，最终报价最低的供应商的价格为磋商基准价，其价格分为满分。其他供应商的价格分统一按下列公式折算递减。</w:t>
      </w:r>
    </w:p>
    <w:p>
      <w:pPr>
        <w:tabs>
          <w:tab w:val="left" w:pos="540"/>
        </w:tabs>
        <w:snapToGrid w:val="0"/>
        <w:spacing w:line="500" w:lineRule="exact"/>
        <w:ind w:left="510"/>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即：磋商</w:t>
      </w:r>
      <w:r>
        <w:rPr>
          <w:rFonts w:hint="eastAsia" w:ascii="宋体" w:hAnsi="宋体"/>
          <w:color w:val="000000" w:themeColor="text1"/>
          <w:szCs w:val="24"/>
          <w14:textFill>
            <w14:solidFill>
              <w14:schemeClr w14:val="tx1"/>
            </w14:solidFill>
          </w14:textFill>
        </w:rPr>
        <w:t>报价得分</w:t>
      </w:r>
      <w:r>
        <w:rPr>
          <w:rFonts w:ascii="宋体" w:hAnsi="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w:t>
      </w:r>
      <w:r>
        <w:rPr>
          <w:rFonts w:hint="eastAsia" w:ascii="宋体" w:hAnsi="宋体"/>
          <w:color w:val="000000" w:themeColor="text1"/>
          <w:szCs w:val="24"/>
          <w:lang w:val="en-GB"/>
          <w14:textFill>
            <w14:solidFill>
              <w14:schemeClr w14:val="tx1"/>
            </w14:solidFill>
          </w14:textFill>
        </w:rPr>
        <w:t>磋商</w:t>
      </w:r>
      <w:r>
        <w:rPr>
          <w:rFonts w:hint="eastAsia" w:ascii="宋体" w:hAnsi="宋体"/>
          <w:color w:val="000000" w:themeColor="text1"/>
          <w:szCs w:val="24"/>
          <w14:textFill>
            <w14:solidFill>
              <w14:schemeClr w14:val="tx1"/>
            </w14:solidFill>
          </w14:textFill>
        </w:rPr>
        <w:t>基准价</w:t>
      </w:r>
      <w:r>
        <w:rPr>
          <w:rFonts w:ascii="宋体" w:hAnsi="宋体"/>
          <w:color w:val="000000" w:themeColor="text1"/>
          <w:szCs w:val="24"/>
          <w14:textFill>
            <w14:solidFill>
              <w14:schemeClr w14:val="tx1"/>
            </w14:solidFill>
          </w14:textFill>
        </w:rPr>
        <w:t>/</w:t>
      </w:r>
      <w:r>
        <w:rPr>
          <w:rFonts w:hint="eastAsia" w:ascii="宋体" w:hAnsi="宋体"/>
          <w:color w:val="000000" w:themeColor="text1"/>
          <w:szCs w:val="24"/>
          <w14:textFill>
            <w14:solidFill>
              <w14:schemeClr w14:val="tx1"/>
            </w14:solidFill>
          </w14:textFill>
        </w:rPr>
        <w:t>最终磋商报价（修正后））×</w:t>
      </w:r>
      <w:r>
        <w:rPr>
          <w:rFonts w:hint="eastAsia" w:ascii="宋体" w:hAnsi="宋体"/>
          <w:color w:val="000000" w:themeColor="text1"/>
          <w:szCs w:val="24"/>
          <w:lang w:val="en-GB"/>
          <w14:textFill>
            <w14:solidFill>
              <w14:schemeClr w14:val="tx1"/>
            </w14:solidFill>
          </w14:textFill>
        </w:rPr>
        <w:t>价格权重</w:t>
      </w:r>
      <w:r>
        <w:rPr>
          <w:rFonts w:hint="eastAsia" w:ascii="宋体" w:hAnsi="宋体"/>
          <w:color w:val="000000" w:themeColor="text1"/>
          <w:szCs w:val="24"/>
          <w14:textFill>
            <w14:solidFill>
              <w14:schemeClr w14:val="tx1"/>
            </w14:solidFill>
          </w14:textFill>
        </w:rPr>
        <w:t>×100</w:t>
      </w:r>
    </w:p>
    <w:p>
      <w:pPr>
        <w:tabs>
          <w:tab w:val="left" w:pos="540"/>
        </w:tabs>
        <w:snapToGrid w:val="0"/>
        <w:spacing w:line="500" w:lineRule="exact"/>
        <w:ind w:left="510"/>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（评标基准价、得分均精确到两位小数）</w:t>
      </w:r>
    </w:p>
    <w:p>
      <w:pPr>
        <w:numPr>
          <w:ilvl w:val="0"/>
          <w:numId w:val="4"/>
        </w:numPr>
        <w:tabs>
          <w:tab w:val="left" w:pos="540"/>
        </w:tabs>
        <w:snapToGrid w:val="0"/>
        <w:spacing w:line="500" w:lineRule="exact"/>
        <w:rPr>
          <w:rFonts w:hint="eastAsia" w:ascii="宋体" w:hAnsi="宋体"/>
          <w:b/>
          <w:color w:val="000000" w:themeColor="text1"/>
          <w:szCs w:val="24"/>
          <w:lang w:val="en-GB"/>
          <w14:textFill>
            <w14:solidFill>
              <w14:schemeClr w14:val="tx1"/>
            </w14:solidFill>
          </w14:textFill>
        </w:rPr>
      </w:pPr>
      <w:r>
        <w:rPr>
          <w:rFonts w:hint="eastAsia" w:ascii="宋体" w:hAnsi="宋体"/>
          <w:b/>
          <w:color w:val="000000" w:themeColor="text1"/>
          <w:szCs w:val="24"/>
          <w:lang w:val="en-GB"/>
          <w14:textFill>
            <w14:solidFill>
              <w14:schemeClr w14:val="tx1"/>
            </w14:solidFill>
          </w14:textFill>
        </w:rPr>
        <w:t>评分汇总</w:t>
      </w:r>
    </w:p>
    <w:p>
      <w:pPr>
        <w:tabs>
          <w:tab w:val="left" w:pos="540"/>
        </w:tabs>
        <w:spacing w:line="500" w:lineRule="exact"/>
        <w:ind w:left="51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lang w:val="en-US" w:eastAsia="zh-CN"/>
          <w14:textFill>
            <w14:solidFill>
              <w14:schemeClr w14:val="tx1"/>
            </w14:solidFill>
          </w14:textFill>
        </w:rPr>
        <w:t>技术</w:t>
      </w:r>
      <w:r>
        <w:rPr>
          <w:rFonts w:hint="eastAsia" w:ascii="宋体" w:hAnsi="宋体"/>
          <w:color w:val="000000" w:themeColor="text1"/>
          <w:szCs w:val="24"/>
          <w:lang w:val="en-GB"/>
          <w14:textFill>
            <w14:solidFill>
              <w14:schemeClr w14:val="tx1"/>
            </w14:solidFill>
          </w14:textFill>
        </w:rPr>
        <w:t>部分得</w:t>
      </w:r>
      <w:r>
        <w:rPr>
          <w:rFonts w:ascii="宋体" w:hAnsi="宋体"/>
          <w:color w:val="000000" w:themeColor="text1"/>
          <w:szCs w:val="24"/>
          <w:lang w:val="en-GB"/>
          <w14:textFill>
            <w14:solidFill>
              <w14:schemeClr w14:val="tx1"/>
            </w14:solidFill>
          </w14:textFill>
        </w:rPr>
        <w:t>分</w:t>
      </w:r>
      <w:r>
        <w:rPr>
          <w:rFonts w:hint="eastAsia" w:ascii="宋体" w:hAnsi="宋体"/>
          <w:color w:val="000000" w:themeColor="text1"/>
          <w:szCs w:val="24"/>
          <w:lang w:val="en-GB"/>
          <w14:textFill>
            <w14:solidFill>
              <w14:schemeClr w14:val="tx1"/>
            </w14:solidFill>
          </w14:textFill>
        </w:rPr>
        <w:t xml:space="preserve"> </w:t>
      </w:r>
      <w:r>
        <w:rPr>
          <w:rFonts w:ascii="宋体" w:hAnsi="宋体"/>
          <w:color w:val="000000" w:themeColor="text1"/>
          <w:szCs w:val="24"/>
          <w:lang w:val="en-GB"/>
          <w14:textFill>
            <w14:solidFill>
              <w14:schemeClr w14:val="tx1"/>
            </w14:solidFill>
          </w14:textFill>
        </w:rPr>
        <w:t>＝</w:t>
      </w:r>
      <w:r>
        <w:rPr>
          <w:rFonts w:hint="eastAsia" w:ascii="宋体" w:hAnsi="宋体"/>
          <w:color w:val="000000" w:themeColor="text1"/>
          <w:szCs w:val="24"/>
          <w14:textFill>
            <w14:solidFill>
              <w14:schemeClr w14:val="tx1"/>
            </w14:solidFill>
          </w14:textFill>
        </w:rPr>
        <w:t xml:space="preserve"> 各子项技术评分的总和</w:t>
      </w:r>
    </w:p>
    <w:p>
      <w:pPr>
        <w:tabs>
          <w:tab w:val="left" w:pos="540"/>
        </w:tabs>
        <w:spacing w:line="500" w:lineRule="exact"/>
        <w:ind w:left="51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商务部分得</w:t>
      </w:r>
      <w:r>
        <w:rPr>
          <w:rFonts w:ascii="宋体" w:hAnsi="宋体"/>
          <w:color w:val="000000" w:themeColor="text1"/>
          <w:szCs w:val="24"/>
          <w:lang w:val="en-GB"/>
          <w14:textFill>
            <w14:solidFill>
              <w14:schemeClr w14:val="tx1"/>
            </w14:solidFill>
          </w14:textFill>
        </w:rPr>
        <w:t>分</w:t>
      </w:r>
      <w:r>
        <w:rPr>
          <w:rFonts w:hint="eastAsia" w:ascii="宋体" w:hAnsi="宋体"/>
          <w:color w:val="000000" w:themeColor="text1"/>
          <w:szCs w:val="24"/>
          <w:lang w:val="en-GB"/>
          <w14:textFill>
            <w14:solidFill>
              <w14:schemeClr w14:val="tx1"/>
            </w14:solidFill>
          </w14:textFill>
        </w:rPr>
        <w:t xml:space="preserve"> </w:t>
      </w:r>
      <w:r>
        <w:rPr>
          <w:rFonts w:ascii="宋体" w:hAnsi="宋体"/>
          <w:color w:val="000000" w:themeColor="text1"/>
          <w:szCs w:val="24"/>
          <w:lang w:val="en-GB"/>
          <w14:textFill>
            <w14:solidFill>
              <w14:schemeClr w14:val="tx1"/>
            </w14:solidFill>
          </w14:textFill>
        </w:rPr>
        <w:t>＝</w:t>
      </w:r>
      <w:r>
        <w:rPr>
          <w:rFonts w:hint="eastAsia" w:ascii="宋体" w:hAnsi="宋体"/>
          <w:color w:val="000000" w:themeColor="text1"/>
          <w:szCs w:val="24"/>
          <w14:textFill>
            <w14:solidFill>
              <w14:schemeClr w14:val="tx1"/>
            </w14:solidFill>
          </w14:textFill>
        </w:rPr>
        <w:t xml:space="preserve"> 各子项</w:t>
      </w: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szCs w:val="24"/>
          <w14:textFill>
            <w14:solidFill>
              <w14:schemeClr w14:val="tx1"/>
            </w14:solidFill>
          </w14:textFill>
        </w:rPr>
        <w:t>评分的总和</w:t>
      </w:r>
    </w:p>
    <w:p>
      <w:pPr>
        <w:tabs>
          <w:tab w:val="left" w:pos="540"/>
        </w:tabs>
        <w:spacing w:line="500" w:lineRule="exact"/>
        <w:ind w:left="510"/>
        <w:rPr>
          <w:rFonts w:hint="eastAsia" w:ascii="宋体" w:hAnsi="宋体"/>
          <w:color w:val="000000" w:themeColor="text1"/>
          <w:szCs w:val="24"/>
          <w:lang w:val="en-GB"/>
          <w14:textFill>
            <w14:solidFill>
              <w14:schemeClr w14:val="tx1"/>
            </w14:solidFill>
          </w14:textFill>
        </w:rPr>
      </w:pPr>
      <w:r>
        <w:rPr>
          <w:rFonts w:ascii="宋体" w:hAnsi="宋体"/>
          <w:color w:val="000000" w:themeColor="text1"/>
          <w:szCs w:val="24"/>
          <w:lang w:val="en-GB"/>
          <w14:textFill>
            <w14:solidFill>
              <w14:schemeClr w14:val="tx1"/>
            </w14:solidFill>
          </w14:textFill>
        </w:rPr>
        <w:t>价格</w:t>
      </w:r>
      <w:r>
        <w:rPr>
          <w:rFonts w:hint="eastAsia" w:ascii="宋体" w:hAnsi="宋体"/>
          <w:color w:val="000000" w:themeColor="text1"/>
          <w:szCs w:val="24"/>
          <w:lang w:val="en-GB"/>
          <w14:textFill>
            <w14:solidFill>
              <w14:schemeClr w14:val="tx1"/>
            </w14:solidFill>
          </w14:textFill>
        </w:rPr>
        <w:t>部分得</w:t>
      </w:r>
      <w:r>
        <w:rPr>
          <w:rFonts w:ascii="宋体" w:hAnsi="宋体"/>
          <w:color w:val="000000" w:themeColor="text1"/>
          <w:szCs w:val="24"/>
          <w:lang w:val="en-GB"/>
          <w14:textFill>
            <w14:solidFill>
              <w14:schemeClr w14:val="tx1"/>
            </w14:solidFill>
          </w14:textFill>
        </w:rPr>
        <w:t>分</w:t>
      </w:r>
      <w:r>
        <w:rPr>
          <w:rFonts w:hint="eastAsia" w:ascii="宋体" w:hAnsi="宋体"/>
          <w:color w:val="000000" w:themeColor="text1"/>
          <w:szCs w:val="24"/>
          <w:lang w:val="en-GB"/>
          <w14:textFill>
            <w14:solidFill>
              <w14:schemeClr w14:val="tx1"/>
            </w14:solidFill>
          </w14:textFill>
        </w:rPr>
        <w:t xml:space="preserve"> </w:t>
      </w:r>
      <w:r>
        <w:rPr>
          <w:rFonts w:ascii="宋体" w:hAnsi="宋体"/>
          <w:color w:val="000000" w:themeColor="text1"/>
          <w:szCs w:val="24"/>
          <w:lang w:val="en-GB"/>
          <w14:textFill>
            <w14:solidFill>
              <w14:schemeClr w14:val="tx1"/>
            </w14:solidFill>
          </w14:textFill>
        </w:rPr>
        <w:t>＝ 统一公式计算得分</w:t>
      </w:r>
    </w:p>
    <w:p>
      <w:pPr>
        <w:tabs>
          <w:tab w:val="left" w:pos="540"/>
        </w:tabs>
        <w:spacing w:line="500" w:lineRule="exact"/>
        <w:ind w:left="510"/>
        <w:rPr>
          <w:rFonts w:hint="eastAsia"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 xml:space="preserve">评标总得分 </w:t>
      </w:r>
      <w:r>
        <w:rPr>
          <w:rFonts w:ascii="宋体" w:hAnsi="宋体"/>
          <w:color w:val="000000" w:themeColor="text1"/>
          <w:szCs w:val="24"/>
          <w:lang w:val="en-GB"/>
          <w14:textFill>
            <w14:solidFill>
              <w14:schemeClr w14:val="tx1"/>
            </w14:solidFill>
          </w14:textFill>
        </w:rPr>
        <w:t>＝</w:t>
      </w:r>
      <w:r>
        <w:rPr>
          <w:rFonts w:hint="eastAsia" w:ascii="宋体" w:hAnsi="宋体"/>
          <w:color w:val="000000" w:themeColor="text1"/>
          <w:szCs w:val="24"/>
          <w:lang w:val="en-GB"/>
          <w14:textFill>
            <w14:solidFill>
              <w14:schemeClr w14:val="tx1"/>
            </w14:solidFill>
          </w14:textFill>
        </w:rPr>
        <w:t>技术</w:t>
      </w:r>
      <w:r>
        <w:rPr>
          <w:rFonts w:hint="eastAsia" w:ascii="宋体" w:hAnsi="宋体"/>
          <w:color w:val="000000" w:themeColor="text1"/>
          <w14:textFill>
            <w14:solidFill>
              <w14:schemeClr w14:val="tx1"/>
            </w14:solidFill>
          </w14:textFill>
        </w:rPr>
        <w:t>得分+</w:t>
      </w: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14:textFill>
            <w14:solidFill>
              <w14:schemeClr w14:val="tx1"/>
            </w14:solidFill>
          </w14:textFill>
        </w:rPr>
        <w:t>得分+价格得分</w:t>
      </w:r>
    </w:p>
    <w:p>
      <w:pPr>
        <w:tabs>
          <w:tab w:val="left" w:pos="540"/>
        </w:tabs>
        <w:spacing w:line="500" w:lineRule="exact"/>
        <w:ind w:left="510"/>
        <w:rPr>
          <w:rFonts w:hint="eastAsia"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技术得分满分为</w:t>
      </w:r>
      <w:r>
        <w:rPr>
          <w:rFonts w:hint="eastAsia" w:ascii="宋体" w:hAnsi="宋体"/>
          <w:color w:val="000000" w:themeColor="text1"/>
          <w:szCs w:val="24"/>
          <w:lang w:val="en-US" w:eastAsia="zh-CN"/>
          <w14:textFill>
            <w14:solidFill>
              <w14:schemeClr w14:val="tx1"/>
            </w14:solidFill>
          </w14:textFill>
        </w:rPr>
        <w:t>4</w:t>
      </w:r>
      <w:r>
        <w:rPr>
          <w:rFonts w:hint="eastAsia" w:ascii="宋体" w:hAnsi="宋体"/>
          <w:color w:val="000000" w:themeColor="text1"/>
          <w:szCs w:val="24"/>
          <w14:textFill>
            <w14:solidFill>
              <w14:schemeClr w14:val="tx1"/>
            </w14:solidFill>
          </w14:textFill>
        </w:rPr>
        <w:t>0分，</w:t>
      </w:r>
      <w:r>
        <w:rPr>
          <w:rFonts w:hint="eastAsia" w:ascii="宋体" w:hAnsi="宋体"/>
          <w:color w:val="000000" w:themeColor="text1"/>
          <w:szCs w:val="24"/>
          <w:lang w:val="en-GB"/>
          <w14:textFill>
            <w14:solidFill>
              <w14:schemeClr w14:val="tx1"/>
            </w14:solidFill>
          </w14:textFill>
        </w:rPr>
        <w:t>商务</w:t>
      </w:r>
      <w:r>
        <w:rPr>
          <w:rFonts w:hint="eastAsia" w:ascii="宋体" w:hAnsi="宋体"/>
          <w:color w:val="000000" w:themeColor="text1"/>
          <w:szCs w:val="24"/>
          <w14:textFill>
            <w14:solidFill>
              <w14:schemeClr w14:val="tx1"/>
            </w14:solidFill>
          </w14:textFill>
        </w:rPr>
        <w:t>得分满分为</w:t>
      </w:r>
      <w:r>
        <w:rPr>
          <w:rFonts w:hint="eastAsia" w:ascii="宋体" w:hAnsi="宋体"/>
          <w:color w:val="000000" w:themeColor="text1"/>
          <w:szCs w:val="24"/>
          <w:lang w:val="en-US" w:eastAsia="zh-CN"/>
          <w14:textFill>
            <w14:solidFill>
              <w14:schemeClr w14:val="tx1"/>
            </w14:solidFill>
          </w14:textFill>
        </w:rPr>
        <w:t>30</w:t>
      </w:r>
      <w:r>
        <w:rPr>
          <w:rFonts w:hint="eastAsia" w:ascii="宋体" w:hAnsi="宋体"/>
          <w:color w:val="000000" w:themeColor="text1"/>
          <w:szCs w:val="24"/>
          <w14:textFill>
            <w14:solidFill>
              <w14:schemeClr w14:val="tx1"/>
            </w14:solidFill>
          </w14:textFill>
        </w:rPr>
        <w:t>分，价格得分满分为</w:t>
      </w:r>
      <w:r>
        <w:rPr>
          <w:rFonts w:hint="eastAsia" w:ascii="宋体" w:hAnsi="宋体"/>
          <w:color w:val="000000" w:themeColor="text1"/>
          <w:szCs w:val="24"/>
          <w:lang w:val="en-US" w:eastAsia="zh-CN"/>
          <w14:textFill>
            <w14:solidFill>
              <w14:schemeClr w14:val="tx1"/>
            </w14:solidFill>
          </w14:textFill>
        </w:rPr>
        <w:t>30</w:t>
      </w:r>
      <w:r>
        <w:rPr>
          <w:rFonts w:hint="eastAsia" w:ascii="宋体" w:hAnsi="宋体"/>
          <w:color w:val="000000" w:themeColor="text1"/>
          <w:szCs w:val="24"/>
          <w14:textFill>
            <w14:solidFill>
              <w14:schemeClr w14:val="tx1"/>
            </w14:solidFill>
          </w14:textFill>
        </w:rPr>
        <w:t>分。</w:t>
      </w:r>
    </w:p>
    <w:p>
      <w:pPr>
        <w:tabs>
          <w:tab w:val="left" w:pos="540"/>
        </w:tabs>
        <w:spacing w:line="500" w:lineRule="exact"/>
        <w:ind w:left="510"/>
        <w:rPr>
          <w:rFonts w:hint="eastAsia" w:ascii="宋体" w:hAnsi="宋体"/>
          <w:color w:val="000000" w:themeColor="text1"/>
          <w:spacing w:val="-2"/>
          <w:szCs w:val="24"/>
          <w:lang w:val="en-GB"/>
          <w14:textFill>
            <w14:solidFill>
              <w14:schemeClr w14:val="tx1"/>
            </w14:solidFill>
          </w14:textFill>
        </w:rPr>
      </w:pPr>
      <w:r>
        <w:rPr>
          <w:rFonts w:hint="eastAsia" w:ascii="宋体" w:hAnsi="宋体"/>
          <w:color w:val="000000" w:themeColor="text1"/>
          <w:spacing w:val="-2"/>
          <w:szCs w:val="24"/>
          <w:lang w:val="en-GB"/>
          <w14:textFill>
            <w14:solidFill>
              <w14:schemeClr w14:val="tx1"/>
            </w14:solidFill>
          </w14:textFill>
        </w:rPr>
        <w:t>（汇总计算时将按四舍五入的原则精确至小数点后两位）</w:t>
      </w:r>
    </w:p>
    <w:p>
      <w:pPr>
        <w:rPr>
          <w:color w:val="000000" w:themeColor="text1"/>
          <w14:textFill>
            <w14:solidFill>
              <w14:schemeClr w14:val="tx1"/>
            </w14:solidFill>
          </w14:textFill>
        </w:rPr>
      </w:pPr>
    </w:p>
    <w:sectPr>
      <w:footerReference r:id="rId3" w:type="default"/>
      <w:pgSz w:w="11906" w:h="16838"/>
      <w:pgMar w:top="1327" w:right="1800" w:bottom="1327"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hpgkvTAAAABQEAAA8AAAAAAAAAAQAgAAAAIgAAAGRycy9kb3ducmV2LnhtbFBLAQIU&#10;ABQAAAAIAIdO4kB4JzhdvwEAAGUDAAAOAAAAAAAAAAEAIAAAACIBAABkcnMvZTJvRG9jLnhtbFBL&#10;BQYAAAAABgAGAFkBAABTBQAAAAA=&#10;">
              <v:fill on="f" focussize="0,0"/>
              <v:stroke on="f" weight="1.2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LzU33b0BAABlAwAADgAAAAAAAAABACAAAAAiAQAAZHJzL2Uyb0RvYy54bWxQSwUG&#10;AAAAAAYABgBZAQAAUQU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F00355"/>
    <w:multiLevelType w:val="singleLevel"/>
    <w:tmpl w:val="E1F00355"/>
    <w:lvl w:ilvl="0" w:tentative="0">
      <w:start w:val="1"/>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5.%1."/>
      <w:lvlJc w:val="left"/>
      <w:pPr>
        <w:tabs>
          <w:tab w:val="left" w:pos="510"/>
        </w:tabs>
        <w:ind w:left="510" w:hanging="510"/>
      </w:pPr>
      <w:rPr>
        <w:rFonts w:hint="default"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8A3E05"/>
    <w:multiLevelType w:val="multilevel"/>
    <w:tmpl w:val="2D8A3E05"/>
    <w:lvl w:ilvl="0" w:tentative="0">
      <w:start w:val="1"/>
      <w:numFmt w:val="decimal"/>
      <w:lvlText w:val="%1．"/>
      <w:lvlJc w:val="left"/>
      <w:rPr>
        <w:rFonts w:hint="default" w:cs="Times New Roman"/>
        <w:spacing w:val="-20"/>
        <w:kern w:val="2"/>
        <w:position w:val="0"/>
      </w:rPr>
    </w:lvl>
    <w:lvl w:ilvl="1" w:tentative="0">
      <w:start w:val="2"/>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3">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84366"/>
    <w:rsid w:val="08DD4E95"/>
    <w:rsid w:val="0D984366"/>
    <w:rsid w:val="709624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839"/>
      </w:tabs>
      <w:spacing w:after="120"/>
      <w:ind w:left="0" w:firstLine="0"/>
    </w:pPr>
  </w:style>
  <w:style w:type="paragraph" w:styleId="3">
    <w:name w:val="Body Text First Indent"/>
    <w:basedOn w:val="2"/>
    <w:qFormat/>
    <w:uiPriority w:val="0"/>
    <w:pPr>
      <w:tabs>
        <w:tab w:val="left" w:pos="839"/>
      </w:tabs>
      <w:ind w:firstLine="420" w:firstLineChars="100"/>
    </w:pPr>
  </w:style>
  <w:style w:type="paragraph" w:styleId="4">
    <w:name w:val="Plain Text"/>
    <w:basedOn w:val="1"/>
    <w:next w:val="5"/>
    <w:qFormat/>
    <w:uiPriority w:val="0"/>
    <w:rPr>
      <w:rFonts w:ascii="宋体" w:hAnsi="Courier New" w:cs="Courier New"/>
      <w:szCs w:val="21"/>
    </w:rPr>
  </w:style>
  <w:style w:type="paragraph" w:customStyle="1" w:styleId="5">
    <w:name w:val="Default"/>
    <w:unhideWhenUsed/>
    <w:qFormat/>
    <w:uiPriority w:val="0"/>
    <w:pPr>
      <w:widowControl w:val="0"/>
      <w:autoSpaceDE w:val="0"/>
      <w:autoSpaceDN w:val="0"/>
      <w:adjustRightInd w:val="0"/>
      <w:spacing w:beforeLines="0" w:afterLines="0"/>
    </w:pPr>
    <w:rPr>
      <w:rFonts w:hint="eastAsia" w:ascii="Times New Roman" w:hAnsi="Times New Roman" w:eastAsia="Times New Roman" w:cs="Times New Roman"/>
      <w:color w:val="000000"/>
      <w:sz w:val="24"/>
      <w:szCs w:val="22"/>
      <w:lang w:val="en-US" w:eastAsia="zh-CN"/>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2026-05-29T06:51:00Z</dcterms:created>
  <dc:creator>Administrator</dc:creator>
  <cp:lastModifiedBy>Administrator</cp:lastModifiedBy>
  <dcterms:modified xsi:type="dcterms:W3CDTF">2026-06-01T00:20:29Z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